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CE5C0" w14:textId="528C8EC9" w:rsidR="00640926" w:rsidRDefault="00B63236" w:rsidP="00B63236">
      <w:pPr>
        <w:jc w:val="center"/>
        <w:rPr>
          <w:b/>
          <w:bCs/>
          <w:u w:val="single"/>
        </w:rPr>
      </w:pPr>
      <w:r w:rsidRPr="00B63236">
        <w:rPr>
          <w:b/>
          <w:bCs/>
          <w:u w:val="single"/>
        </w:rPr>
        <w:t xml:space="preserve">Commercial laboratory guidance – measles </w:t>
      </w:r>
      <w:r w:rsidR="00E55BA4">
        <w:rPr>
          <w:b/>
          <w:bCs/>
          <w:u w:val="single"/>
        </w:rPr>
        <w:t xml:space="preserve">molecular </w:t>
      </w:r>
      <w:r w:rsidRPr="00B63236">
        <w:rPr>
          <w:b/>
          <w:bCs/>
          <w:u w:val="single"/>
        </w:rPr>
        <w:t>testing</w:t>
      </w:r>
    </w:p>
    <w:p w14:paraId="4CD4F5C7" w14:textId="650C8BE3" w:rsidR="00965391" w:rsidRPr="00C178DF" w:rsidRDefault="00965391" w:rsidP="00965391">
      <w:r w:rsidRPr="00C178DF">
        <w:t xml:space="preserve">Commercial laboratory testing for measles detection offers advantages including integration with standard </w:t>
      </w:r>
      <w:r w:rsidR="00782BC8" w:rsidRPr="00C178DF">
        <w:t xml:space="preserve">specimen </w:t>
      </w:r>
      <w:r w:rsidRPr="00C178DF">
        <w:t xml:space="preserve">routing and integration with </w:t>
      </w:r>
      <w:r w:rsidR="00782BC8" w:rsidRPr="00C178DF">
        <w:t xml:space="preserve">providers’ </w:t>
      </w:r>
      <w:r w:rsidRPr="00C178DF">
        <w:t xml:space="preserve">electronic medical record systems. However, it is important that public health authorities </w:t>
      </w:r>
      <w:r w:rsidR="00DA4668" w:rsidRPr="00C178DF">
        <w:t xml:space="preserve">are aware of </w:t>
      </w:r>
      <w:r w:rsidRPr="00C178DF">
        <w:t xml:space="preserve">suspect measles cases and </w:t>
      </w:r>
      <w:r w:rsidR="009D0EAA" w:rsidRPr="00C178DF">
        <w:t xml:space="preserve">that </w:t>
      </w:r>
      <w:r w:rsidR="00524C98" w:rsidRPr="00C178DF">
        <w:t xml:space="preserve">follow up testing </w:t>
      </w:r>
      <w:r w:rsidR="00FC4C36" w:rsidRPr="00C178DF">
        <w:t>by public health laboratories for</w:t>
      </w:r>
      <w:r w:rsidR="00524C98" w:rsidRPr="00C178DF">
        <w:t xml:space="preserve"> </w:t>
      </w:r>
      <w:r w:rsidR="00BD202E" w:rsidRPr="00C178DF">
        <w:t xml:space="preserve">genomic surveillance </w:t>
      </w:r>
      <w:r w:rsidR="00FC4C36" w:rsidRPr="00C178DF">
        <w:t>is performed</w:t>
      </w:r>
      <w:r w:rsidR="00BD202E" w:rsidRPr="00C178DF">
        <w:t xml:space="preserve">. </w:t>
      </w:r>
      <w:r w:rsidR="00FC4C36" w:rsidRPr="00C178DF">
        <w:t xml:space="preserve">Genomic surveillance is used to help track transmission pathways and </w:t>
      </w:r>
      <w:r w:rsidR="00016D04" w:rsidRPr="00C178DF">
        <w:t>to monitor measles elimination in the US.</w:t>
      </w:r>
    </w:p>
    <w:p w14:paraId="7328FB6B" w14:textId="1CBF609B" w:rsidR="009565C3" w:rsidRPr="00F1576F" w:rsidRDefault="00D63714" w:rsidP="00DA19F9">
      <w:pPr>
        <w:pStyle w:val="ListParagraph"/>
        <w:numPr>
          <w:ilvl w:val="0"/>
          <w:numId w:val="2"/>
        </w:numPr>
      </w:pPr>
      <w:r w:rsidRPr="00F1576F">
        <w:t>Commercial laboratories should</w:t>
      </w:r>
      <w:r w:rsidR="00C46CF0">
        <w:t xml:space="preserve"> </w:t>
      </w:r>
      <w:r w:rsidR="00DA19F9">
        <w:t>retain specimens sent for measles testing</w:t>
      </w:r>
      <w:r w:rsidR="00C078C5">
        <w:t>.</w:t>
      </w:r>
      <w:r w:rsidR="00DA19F9">
        <w:t xml:space="preserve"> </w:t>
      </w:r>
      <w:r w:rsidR="00C078C5">
        <w:t>U</w:t>
      </w:r>
      <w:r w:rsidR="00DA19F9">
        <w:t xml:space="preserve">pon completion of testing, and working with state public health partners, laboratories should </w:t>
      </w:r>
      <w:r w:rsidR="00C46CF0">
        <w:t>promptly</w:t>
      </w:r>
      <w:r w:rsidR="00AD03D0" w:rsidRPr="00F1576F">
        <w:t xml:space="preserve"> send</w:t>
      </w:r>
      <w:r w:rsidRPr="00F1576F">
        <w:t xml:space="preserve"> primary specimens that </w:t>
      </w:r>
      <w:r w:rsidR="001F1E93" w:rsidRPr="00145AA1">
        <w:rPr>
          <w:b/>
          <w:bCs/>
        </w:rPr>
        <w:t>test</w:t>
      </w:r>
      <w:r w:rsidRPr="00145AA1">
        <w:rPr>
          <w:b/>
          <w:bCs/>
        </w:rPr>
        <w:t xml:space="preserve"> positive</w:t>
      </w:r>
      <w:r w:rsidRPr="00F1576F">
        <w:t xml:space="preserve"> for </w:t>
      </w:r>
      <w:r w:rsidR="00425CF1" w:rsidRPr="00C178DF">
        <w:t>measles</w:t>
      </w:r>
      <w:r w:rsidR="003B23A1" w:rsidRPr="00C178DF">
        <w:t xml:space="preserve"> RNA </w:t>
      </w:r>
      <w:r w:rsidR="00E82EE6" w:rsidRPr="00C178DF">
        <w:t xml:space="preserve">to CDC </w:t>
      </w:r>
      <w:r w:rsidR="0032264D" w:rsidRPr="00C178DF">
        <w:t>or an APHL Vaccine Preventable Disease Reference Center</w:t>
      </w:r>
      <w:r w:rsidR="00A56552">
        <w:t xml:space="preserve"> (VPDRC)</w:t>
      </w:r>
      <w:r w:rsidR="007B502D">
        <w:t xml:space="preserve"> through routine channels</w:t>
      </w:r>
      <w:r w:rsidR="0032264D" w:rsidRPr="00C178DF">
        <w:t xml:space="preserve"> </w:t>
      </w:r>
      <w:r w:rsidR="007B502D">
        <w:t xml:space="preserve">for </w:t>
      </w:r>
      <w:r w:rsidR="00502E9E" w:rsidRPr="00F1576F">
        <w:t>genotyping</w:t>
      </w:r>
      <w:r w:rsidR="001F1E93">
        <w:t>. If</w:t>
      </w:r>
      <w:r w:rsidR="00502E9E" w:rsidRPr="00F1576F">
        <w:t xml:space="preserve"> requested by the submitter</w:t>
      </w:r>
      <w:r w:rsidR="005C46D9" w:rsidRPr="00F1576F">
        <w:t>,</w:t>
      </w:r>
      <w:r w:rsidR="001F1E93">
        <w:t xml:space="preserve"> specimens should also be sent</w:t>
      </w:r>
      <w:r w:rsidR="005C46D9" w:rsidRPr="00F1576F">
        <w:t xml:space="preserve"> </w:t>
      </w:r>
      <w:r w:rsidR="00502E9E" w:rsidRPr="00F1576F">
        <w:t xml:space="preserve">for </w:t>
      </w:r>
      <w:r w:rsidR="003C6CE5" w:rsidRPr="00C178DF">
        <w:t>Me</w:t>
      </w:r>
      <w:r w:rsidR="009D0C12" w:rsidRPr="00F1576F">
        <w:t>asles Vaccine Assay (MeVA</w:t>
      </w:r>
      <w:r w:rsidR="00502E9E" w:rsidRPr="00F1576F">
        <w:t>)</w:t>
      </w:r>
      <w:r w:rsidR="00506E17">
        <w:t xml:space="preserve"> testing</w:t>
      </w:r>
      <w:r w:rsidR="00585256" w:rsidRPr="00C178DF">
        <w:t xml:space="preserve">. </w:t>
      </w:r>
      <w:r w:rsidR="00CE7485" w:rsidRPr="00F1576F">
        <w:t>A description of these test</w:t>
      </w:r>
      <w:r w:rsidR="00F110DC" w:rsidRPr="00F1576F">
        <w:t xml:space="preserve">s is listed below. </w:t>
      </w:r>
    </w:p>
    <w:p w14:paraId="2FB6489E" w14:textId="77777777" w:rsidR="009565C3" w:rsidRPr="00F1576F" w:rsidRDefault="009565C3" w:rsidP="00F1576F">
      <w:pPr>
        <w:pStyle w:val="ListParagraph"/>
      </w:pPr>
    </w:p>
    <w:p w14:paraId="4A1A578E" w14:textId="626F33C7" w:rsidR="006418A8" w:rsidRPr="00C178DF" w:rsidRDefault="009D0C12" w:rsidP="00585256">
      <w:pPr>
        <w:pStyle w:val="ListParagraph"/>
        <w:numPr>
          <w:ilvl w:val="0"/>
          <w:numId w:val="2"/>
        </w:numPr>
      </w:pPr>
      <w:r w:rsidRPr="00F1576F">
        <w:t xml:space="preserve">Commercial laboratories should </w:t>
      </w:r>
      <w:r w:rsidR="006A563D" w:rsidRPr="00F1576F">
        <w:t xml:space="preserve">store and ship original specimens </w:t>
      </w:r>
      <w:r w:rsidR="003167DC" w:rsidRPr="00F1576F">
        <w:t xml:space="preserve">for genotyping </w:t>
      </w:r>
      <w:r w:rsidR="008E33E5" w:rsidRPr="00F1576F">
        <w:t xml:space="preserve">and MeVA testing </w:t>
      </w:r>
      <w:r w:rsidR="003167DC" w:rsidRPr="00F1576F">
        <w:t>according to</w:t>
      </w:r>
      <w:r w:rsidR="005C46D9" w:rsidRPr="00F1576F">
        <w:t xml:space="preserve"> the</w:t>
      </w:r>
      <w:r w:rsidR="003167DC" w:rsidRPr="00F1576F">
        <w:t xml:space="preserve"> </w:t>
      </w:r>
      <w:r w:rsidR="005C46D9" w:rsidRPr="00F1576F">
        <w:t xml:space="preserve">requirements described by </w:t>
      </w:r>
      <w:r w:rsidR="00D31F7C" w:rsidRPr="00C178DF">
        <w:t>CDC</w:t>
      </w:r>
      <w:r w:rsidR="00D13816" w:rsidRPr="00C178DF">
        <w:t xml:space="preserve"> </w:t>
      </w:r>
      <w:r w:rsidR="003732B2" w:rsidRPr="00C178DF">
        <w:t xml:space="preserve">and/or the </w:t>
      </w:r>
      <w:r w:rsidR="00700D8C" w:rsidRPr="00C178DF">
        <w:t>APHL-VPD Reference Centers</w:t>
      </w:r>
      <w:r w:rsidR="00473391">
        <w:t>, see test specific links or table below</w:t>
      </w:r>
      <w:r w:rsidR="00B77AE0" w:rsidRPr="00C178DF">
        <w:t>.</w:t>
      </w:r>
      <w:r w:rsidR="0042113C" w:rsidRPr="00C178DF">
        <w:t xml:space="preserve"> Storing </w:t>
      </w:r>
      <w:r w:rsidR="00170F8E" w:rsidRPr="00C178DF">
        <w:t xml:space="preserve">upper respiratory specimens </w:t>
      </w:r>
      <w:r w:rsidR="0042113C" w:rsidRPr="00C178DF">
        <w:t xml:space="preserve">frozen </w:t>
      </w:r>
      <w:r w:rsidR="008E44D9" w:rsidRPr="00C178DF">
        <w:t>≤</w:t>
      </w:r>
      <w:r w:rsidR="0042113C" w:rsidRPr="00C178DF">
        <w:t xml:space="preserve"> -70</w:t>
      </w:r>
      <w:r w:rsidR="0042113C" w:rsidRPr="00C178DF">
        <w:rPr>
          <w:vertAlign w:val="superscript"/>
        </w:rPr>
        <w:t>o</w:t>
      </w:r>
      <w:r w:rsidR="0042113C" w:rsidRPr="00C178DF">
        <w:t xml:space="preserve">C as soon </w:t>
      </w:r>
      <w:r w:rsidR="00D92C61" w:rsidRPr="00C178DF">
        <w:t>possible</w:t>
      </w:r>
      <w:r w:rsidR="0004423E" w:rsidRPr="00C178DF">
        <w:t xml:space="preserve"> </w:t>
      </w:r>
      <w:r w:rsidR="0042113C" w:rsidRPr="00C178DF">
        <w:t xml:space="preserve">after </w:t>
      </w:r>
      <w:r w:rsidR="0045414E" w:rsidRPr="00C178DF">
        <w:t>receipt</w:t>
      </w:r>
      <w:r w:rsidR="0072718E" w:rsidRPr="00C178DF">
        <w:t xml:space="preserve"> and limiting freeze-thaw cycles</w:t>
      </w:r>
      <w:r w:rsidR="0045414E" w:rsidRPr="00C178DF">
        <w:t xml:space="preserve"> is recommended</w:t>
      </w:r>
      <w:r w:rsidR="0072718E" w:rsidRPr="00C178DF">
        <w:t>.</w:t>
      </w:r>
      <w:r w:rsidR="00170F8E" w:rsidRPr="00C178DF">
        <w:t xml:space="preserve"> Unprocessed urine should be stored refrigerated and cannot be frozen.</w:t>
      </w:r>
      <w:r w:rsidR="00A8142A" w:rsidRPr="00F1576F">
        <w:t xml:space="preserve"> </w:t>
      </w:r>
    </w:p>
    <w:p w14:paraId="071450AD" w14:textId="77777777" w:rsidR="00170F8E" w:rsidRPr="00C178DF" w:rsidRDefault="00170F8E" w:rsidP="00846ACB">
      <w:pPr>
        <w:pStyle w:val="ListParagraph"/>
      </w:pPr>
    </w:p>
    <w:p w14:paraId="50E793E7" w14:textId="01C9226A" w:rsidR="006418A8" w:rsidRDefault="00A8142A" w:rsidP="00846ACB">
      <w:pPr>
        <w:pStyle w:val="ListParagraph"/>
        <w:numPr>
          <w:ilvl w:val="0"/>
          <w:numId w:val="2"/>
        </w:numPr>
      </w:pPr>
      <w:r w:rsidRPr="00F1576F">
        <w:t xml:space="preserve">Commercial laboratories should </w:t>
      </w:r>
      <w:r w:rsidR="0004423E" w:rsidRPr="00C178DF">
        <w:t xml:space="preserve">inform the recipient laboratory </w:t>
      </w:r>
      <w:r w:rsidR="005C3888" w:rsidRPr="00C178DF">
        <w:t>before specimens are shipped</w:t>
      </w:r>
      <w:r w:rsidR="0031067B" w:rsidRPr="00C178DF">
        <w:t xml:space="preserve"> and provide shipping information. </w:t>
      </w:r>
    </w:p>
    <w:p w14:paraId="3D0659FD" w14:textId="77777777" w:rsidR="00D77FB0" w:rsidRDefault="00D77FB0" w:rsidP="00D77FB0">
      <w:pPr>
        <w:pStyle w:val="ListParagraph"/>
      </w:pPr>
    </w:p>
    <w:p w14:paraId="3068BC23" w14:textId="1747F3CC" w:rsidR="00D77FB0" w:rsidRPr="00C178DF" w:rsidRDefault="00D77FB0" w:rsidP="00846ACB">
      <w:pPr>
        <w:pStyle w:val="ListParagraph"/>
        <w:numPr>
          <w:ilvl w:val="0"/>
          <w:numId w:val="2"/>
        </w:numPr>
      </w:pPr>
      <w:r>
        <w:t xml:space="preserve">For assistance in coordinating shipping of measles positive specimens please reach out to state public health laboratories or the CDC. </w:t>
      </w:r>
    </w:p>
    <w:p w14:paraId="2C26D360" w14:textId="77777777" w:rsidR="00CF2D6E" w:rsidRPr="00C178DF" w:rsidRDefault="00CF2D6E" w:rsidP="00965391">
      <w:pPr>
        <w:rPr>
          <w:b/>
          <w:bCs/>
        </w:rPr>
      </w:pPr>
    </w:p>
    <w:p w14:paraId="0AF680F3" w14:textId="77777777" w:rsidR="00CF2D6E" w:rsidRPr="00C178DF" w:rsidRDefault="00CF2D6E" w:rsidP="00CF2D6E">
      <w:pPr>
        <w:rPr>
          <w:b/>
          <w:bCs/>
        </w:rPr>
      </w:pPr>
      <w:r w:rsidRPr="00C178DF">
        <w:rPr>
          <w:b/>
          <w:bCs/>
        </w:rPr>
        <w:t>Measles Virus Sequencing (Genotyping)</w:t>
      </w:r>
    </w:p>
    <w:p w14:paraId="50293C4F" w14:textId="0C68B7B5" w:rsidR="00CF2D6E" w:rsidRPr="00C178DF" w:rsidRDefault="00CF2D6E" w:rsidP="00965391">
      <w:r w:rsidRPr="00C178DF">
        <w:t xml:space="preserve">Molecular epidemiologic surveillance provides critical data that can support a link (or lack thereof) of cases or outbreaks to each other or to source countries. Sequencing is used to track transmission pathways and to document the absence of endemic circulation of measles in the United States. Sequencing also can distinguish between wild type virus infection and a rash caused by a reaction to measles vaccine strain virus. </w:t>
      </w:r>
      <w:r w:rsidRPr="00F1576F">
        <w:t>Commercial laboratories should</w:t>
      </w:r>
      <w:r w:rsidR="00DA19F9">
        <w:t xml:space="preserve"> work with their state public health laboratories to</w:t>
      </w:r>
      <w:r w:rsidRPr="00F1576F">
        <w:t xml:space="preserve"> routinely send any measles </w:t>
      </w:r>
      <w:proofErr w:type="spellStart"/>
      <w:r w:rsidRPr="00F1576F">
        <w:t>rRT</w:t>
      </w:r>
      <w:proofErr w:type="spellEnd"/>
      <w:r w:rsidRPr="00F1576F">
        <w:t xml:space="preserve">-PCR positive specimens to </w:t>
      </w:r>
      <w:hyperlink r:id="rId8">
        <w:r w:rsidRPr="00F1576F">
          <w:rPr>
            <w:rStyle w:val="Hyperlink"/>
          </w:rPr>
          <w:t>APHL-VPD Reference Centers</w:t>
        </w:r>
      </w:hyperlink>
      <w:r w:rsidRPr="00F1576F">
        <w:t xml:space="preserve"> or </w:t>
      </w:r>
      <w:hyperlink r:id="rId9" w:history="1">
        <w:r w:rsidRPr="00F1576F">
          <w:rPr>
            <w:rStyle w:val="Hyperlink"/>
          </w:rPr>
          <w:t>CDC</w:t>
        </w:r>
      </w:hyperlink>
      <w:r w:rsidRPr="00F1576F">
        <w:t xml:space="preserve"> for sequencing.</w:t>
      </w:r>
      <w:r w:rsidRPr="00C178DF">
        <w:t xml:space="preserve"> </w:t>
      </w:r>
      <w:r w:rsidRPr="00F1576F">
        <w:t xml:space="preserve">It is important that an aliquot of the original specimen (i.e. not nucleic acid) </w:t>
      </w:r>
      <w:r w:rsidR="004840D2">
        <w:t xml:space="preserve">is </w:t>
      </w:r>
      <w:r w:rsidRPr="00F1576F">
        <w:t xml:space="preserve">sent as soon as possible after the positive </w:t>
      </w:r>
      <w:proofErr w:type="spellStart"/>
      <w:r w:rsidRPr="00F1576F">
        <w:t>rRT</w:t>
      </w:r>
      <w:proofErr w:type="spellEnd"/>
      <w:r w:rsidRPr="00F1576F">
        <w:t xml:space="preserve">-PCR result is reported to ensure timely tracking of cases and outbreaks. Batching specimens is possible, but specimens should be sent at least on a weekly basis during periods when there are ongoing measles outbreaks. The specimen types and submission requirements for the APHL-VPD Reference Centers can be found </w:t>
      </w:r>
      <w:hyperlink r:id="rId10">
        <w:r w:rsidRPr="00F1576F">
          <w:rPr>
            <w:rStyle w:val="Hyperlink"/>
          </w:rPr>
          <w:t>here</w:t>
        </w:r>
      </w:hyperlink>
      <w:r w:rsidRPr="00F1576F">
        <w:t xml:space="preserve">; submission requirements for measles genotyping at CDC can be found </w:t>
      </w:r>
      <w:hyperlink r:id="rId11">
        <w:r w:rsidRPr="00F1576F">
          <w:rPr>
            <w:rStyle w:val="Hyperlink"/>
          </w:rPr>
          <w:t>here</w:t>
        </w:r>
      </w:hyperlink>
      <w:r w:rsidRPr="00F1576F">
        <w:t>.</w:t>
      </w:r>
      <w:r w:rsidRPr="00C178DF">
        <w:t xml:space="preserve"> </w:t>
      </w:r>
    </w:p>
    <w:p w14:paraId="0969886C" w14:textId="77777777" w:rsidR="00CF2D6E" w:rsidRPr="00F1576F" w:rsidRDefault="00CF2D6E" w:rsidP="00965391"/>
    <w:p w14:paraId="1342015D" w14:textId="08A0F560" w:rsidR="00965391" w:rsidRPr="00C178DF" w:rsidRDefault="00965391" w:rsidP="00965391">
      <w:pPr>
        <w:rPr>
          <w:b/>
          <w:bCs/>
        </w:rPr>
      </w:pPr>
      <w:r w:rsidRPr="00C178DF">
        <w:rPr>
          <w:b/>
          <w:bCs/>
        </w:rPr>
        <w:lastRenderedPageBreak/>
        <w:t>Measles Vaccine (MeVA) Assay</w:t>
      </w:r>
    </w:p>
    <w:p w14:paraId="125CC760" w14:textId="282E3AEB" w:rsidR="00BD202E" w:rsidRPr="00C178DF" w:rsidRDefault="00BD202E" w:rsidP="00BD202E">
      <w:r w:rsidRPr="00C178DF">
        <w:t xml:space="preserve">Detection of measles RNA by </w:t>
      </w:r>
      <w:proofErr w:type="spellStart"/>
      <w:r w:rsidRPr="00C178DF">
        <w:t>rRT</w:t>
      </w:r>
      <w:proofErr w:type="spellEnd"/>
      <w:r w:rsidRPr="00C178DF">
        <w:t>-PCR in clinical specimens confirms the diagnosis of measles, unless there has been recent vaccination. Approximately 5% of individuals vaccinated with a measles-containing vaccine develop fever and rash that can be clinically indistinguishable from measles infection. Rapid differentiation of vaccine reactions from infections with wild-type virus is critical for guiding the public health response to outbreaks. The Measles Vaccine (MeVA) Assay, available at the</w:t>
      </w:r>
      <w:r w:rsidR="00A12E2E" w:rsidRPr="00C178DF">
        <w:t xml:space="preserve"> </w:t>
      </w:r>
      <w:hyperlink r:id="rId12" w:history="1">
        <w:r w:rsidR="00A12E2E" w:rsidRPr="00C178DF">
          <w:rPr>
            <w:rStyle w:val="Hyperlink"/>
          </w:rPr>
          <w:t>CDC</w:t>
        </w:r>
      </w:hyperlink>
      <w:r w:rsidRPr="00C178DF">
        <w:t> the </w:t>
      </w:r>
      <w:hyperlink r:id="rId13" w:tgtFrame="_blank" w:history="1">
        <w:r w:rsidRPr="00C178DF">
          <w:rPr>
            <w:rStyle w:val="Hyperlink"/>
            <w:u w:val="none"/>
          </w:rPr>
          <w:t>APHL-VPD Reference Centers</w:t>
        </w:r>
      </w:hyperlink>
      <w:r w:rsidRPr="00C178DF">
        <w:t xml:space="preserve">, is </w:t>
      </w:r>
      <w:r w:rsidR="008D6DEB" w:rsidRPr="00C178DF">
        <w:t>able to</w:t>
      </w:r>
      <w:r w:rsidRPr="00C178DF">
        <w:t xml:space="preserve"> rapidly determine if detected measles virus is vaccine-derived or wild-type virus, if necessary. The MeVA assay is a </w:t>
      </w:r>
      <w:proofErr w:type="spellStart"/>
      <w:r w:rsidRPr="00C178DF">
        <w:t>rRT</w:t>
      </w:r>
      <w:proofErr w:type="spellEnd"/>
      <w:r w:rsidRPr="00C178DF">
        <w:t xml:space="preserve">-PCR assay that detects measles vaccine strains and is performed in conjunction with a standard </w:t>
      </w:r>
      <w:proofErr w:type="spellStart"/>
      <w:r w:rsidRPr="00C178DF">
        <w:t>rRT</w:t>
      </w:r>
      <w:proofErr w:type="spellEnd"/>
      <w:r w:rsidRPr="00C178DF">
        <w:t xml:space="preserve">-PCR </w:t>
      </w:r>
      <w:r w:rsidR="008544C1" w:rsidRPr="00C178DF">
        <w:t xml:space="preserve">measles </w:t>
      </w:r>
      <w:r w:rsidRPr="00C178DF">
        <w:t xml:space="preserve">assay that detects all measles strains. Rapid identification of measles vaccine reactions may be needed in an outbreak setting where an individual was recently exposed (i.e., within 21 days of rash onset) to wild type-measles but also was recently vaccinated. Commercial laboratories should put processes into place for rapidly sending </w:t>
      </w:r>
      <w:r w:rsidR="00EF22B0" w:rsidRPr="00F1576F">
        <w:t xml:space="preserve">an aliquot of the </w:t>
      </w:r>
      <w:r w:rsidR="005B612C" w:rsidRPr="00C178DF">
        <w:t xml:space="preserve">original </w:t>
      </w:r>
      <w:r w:rsidRPr="00C178DF">
        <w:t>specimen</w:t>
      </w:r>
      <w:r w:rsidR="005B612C" w:rsidRPr="00C178DF">
        <w:t xml:space="preserve"> (i.e. not nucleic acid extracts)</w:t>
      </w:r>
      <w:r w:rsidRPr="00C178DF">
        <w:t xml:space="preserve"> to either the </w:t>
      </w:r>
      <w:hyperlink r:id="rId14" w:history="1">
        <w:r w:rsidR="00C66648" w:rsidRPr="00C178DF">
          <w:rPr>
            <w:rStyle w:val="Hyperlink"/>
          </w:rPr>
          <w:t>CDC</w:t>
        </w:r>
      </w:hyperlink>
      <w:r w:rsidR="00C66648" w:rsidRPr="00C178DF">
        <w:t> </w:t>
      </w:r>
      <w:r w:rsidRPr="00C178DF">
        <w:t xml:space="preserve">and/or </w:t>
      </w:r>
      <w:hyperlink r:id="rId15" w:tgtFrame="_blank" w:history="1">
        <w:r w:rsidRPr="00C178DF">
          <w:rPr>
            <w:rStyle w:val="Hyperlink"/>
            <w:u w:val="none"/>
          </w:rPr>
          <w:t>APHL-VPD Reference Centers</w:t>
        </w:r>
      </w:hyperlink>
      <w:r w:rsidRPr="00C178DF">
        <w:t xml:space="preserve"> for MeVA testing when requested by the submitter </w:t>
      </w:r>
      <w:r w:rsidR="006846B3" w:rsidRPr="00C178DF">
        <w:t xml:space="preserve">following </w:t>
      </w:r>
      <w:hyperlink r:id="rId16" w:history="1">
        <w:r w:rsidR="006846B3" w:rsidRPr="00C178DF">
          <w:rPr>
            <w:rStyle w:val="Hyperlink"/>
          </w:rPr>
          <w:t>the guidance for when MeVA testing is appropriate</w:t>
        </w:r>
      </w:hyperlink>
      <w:r w:rsidR="006846B3" w:rsidRPr="00C178DF">
        <w:t xml:space="preserve">. </w:t>
      </w:r>
      <w:r w:rsidR="00EF22B0" w:rsidRPr="00C178DF">
        <w:t>It is important that specimens are sent as soon as possib</w:t>
      </w:r>
      <w:r w:rsidR="00375F6A" w:rsidRPr="00C178DF">
        <w:t xml:space="preserve">le, because MeVA test results have immediate clinical and public health </w:t>
      </w:r>
      <w:r w:rsidR="00EE541B" w:rsidRPr="00C178DF">
        <w:t>follow-up actions and implications</w:t>
      </w:r>
      <w:r w:rsidR="00375F6A" w:rsidRPr="00C178DF">
        <w:t xml:space="preserve">. </w:t>
      </w:r>
      <w:r w:rsidR="006418A8" w:rsidRPr="00C178DF">
        <w:t xml:space="preserve">The specimen types and submission requirements for the APHL-VPD Reference Centers can be found </w:t>
      </w:r>
      <w:hyperlink r:id="rId17" w:history="1">
        <w:r w:rsidR="006418A8" w:rsidRPr="00C178DF">
          <w:rPr>
            <w:rStyle w:val="Hyperlink"/>
          </w:rPr>
          <w:t>here</w:t>
        </w:r>
      </w:hyperlink>
      <w:r w:rsidR="007F2689" w:rsidRPr="00C178DF">
        <w:t>; submission requirements</w:t>
      </w:r>
      <w:r w:rsidR="00CC5BD8" w:rsidRPr="00C178DF">
        <w:t xml:space="preserve"> for the CDC can be found</w:t>
      </w:r>
      <w:r w:rsidR="001D7CBB" w:rsidRPr="00C178DF">
        <w:t xml:space="preserve"> </w:t>
      </w:r>
      <w:hyperlink r:id="rId18" w:history="1">
        <w:r w:rsidR="001D7CBB" w:rsidRPr="00C178DF">
          <w:rPr>
            <w:rStyle w:val="Hyperlink"/>
          </w:rPr>
          <w:t>here</w:t>
        </w:r>
      </w:hyperlink>
      <w:r w:rsidR="001D7CBB" w:rsidRPr="00C178DF">
        <w:t>.</w:t>
      </w:r>
    </w:p>
    <w:p w14:paraId="60946C56" w14:textId="10EFEF9B" w:rsidR="00965391" w:rsidRDefault="00965391" w:rsidP="00965391"/>
    <w:p w14:paraId="57F90023" w14:textId="017D4928" w:rsidR="00E33DE5" w:rsidRPr="00876CBC" w:rsidRDefault="00876CBC" w:rsidP="00965391">
      <w:pPr>
        <w:rPr>
          <w:b/>
          <w:bCs/>
        </w:rPr>
      </w:pPr>
      <w:r w:rsidRPr="00876CBC">
        <w:rPr>
          <w:b/>
          <w:bCs/>
        </w:rPr>
        <w:t>Shipping</w:t>
      </w:r>
      <w:r w:rsidR="00C078C5">
        <w:rPr>
          <w:b/>
          <w:bCs/>
        </w:rPr>
        <w:t>, Storing</w:t>
      </w:r>
      <w:r w:rsidRPr="00876CBC">
        <w:rPr>
          <w:b/>
          <w:bCs/>
        </w:rPr>
        <w:t xml:space="preserve"> and Testing Requirements</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2153"/>
        <w:gridCol w:w="2369"/>
        <w:gridCol w:w="1247"/>
        <w:gridCol w:w="1860"/>
      </w:tblGrid>
      <w:tr w:rsidR="00E33DE5" w14:paraId="74F40A15" w14:textId="77777777" w:rsidTr="00876CBC">
        <w:tc>
          <w:tcPr>
            <w:tcW w:w="1705" w:type="dxa"/>
            <w:shd w:val="clear" w:color="auto" w:fill="DAE9F7" w:themeFill="text2" w:themeFillTint="1A"/>
            <w:vAlign w:val="center"/>
          </w:tcPr>
          <w:p w14:paraId="3DE88D89" w14:textId="7F4E1E27" w:rsidR="00E33DE5" w:rsidRPr="00E33DE5" w:rsidRDefault="00E33DE5" w:rsidP="00FA19AC">
            <w:pPr>
              <w:jc w:val="center"/>
              <w:rPr>
                <w:b/>
                <w:bCs/>
              </w:rPr>
            </w:pPr>
            <w:r w:rsidRPr="00E33DE5">
              <w:rPr>
                <w:b/>
                <w:bCs/>
              </w:rPr>
              <w:t>Test</w:t>
            </w:r>
          </w:p>
        </w:tc>
        <w:tc>
          <w:tcPr>
            <w:tcW w:w="2160" w:type="dxa"/>
            <w:shd w:val="clear" w:color="auto" w:fill="DAE9F7" w:themeFill="text2" w:themeFillTint="1A"/>
            <w:vAlign w:val="center"/>
          </w:tcPr>
          <w:p w14:paraId="1D8A86E8" w14:textId="330A9894" w:rsidR="00E33DE5" w:rsidRPr="00E33DE5" w:rsidRDefault="00FA19AC" w:rsidP="00FA19AC">
            <w:pPr>
              <w:jc w:val="center"/>
              <w:rPr>
                <w:b/>
                <w:bCs/>
              </w:rPr>
            </w:pPr>
            <w:r>
              <w:rPr>
                <w:b/>
                <w:bCs/>
              </w:rPr>
              <w:t xml:space="preserve">Laboratories </w:t>
            </w:r>
          </w:p>
        </w:tc>
        <w:tc>
          <w:tcPr>
            <w:tcW w:w="2375" w:type="dxa"/>
            <w:shd w:val="clear" w:color="auto" w:fill="DAE9F7" w:themeFill="text2" w:themeFillTint="1A"/>
            <w:vAlign w:val="center"/>
          </w:tcPr>
          <w:p w14:paraId="6666265B" w14:textId="53EEC56B" w:rsidR="00E33DE5" w:rsidRPr="00E33DE5" w:rsidRDefault="00E33DE5" w:rsidP="00E33DE5">
            <w:pPr>
              <w:jc w:val="center"/>
              <w:rPr>
                <w:b/>
                <w:bCs/>
              </w:rPr>
            </w:pPr>
            <w:r w:rsidRPr="00E33DE5">
              <w:rPr>
                <w:b/>
                <w:bCs/>
              </w:rPr>
              <w:t>Original Specimen Type</w:t>
            </w:r>
          </w:p>
        </w:tc>
        <w:tc>
          <w:tcPr>
            <w:tcW w:w="1248" w:type="dxa"/>
            <w:shd w:val="clear" w:color="auto" w:fill="DAE9F7" w:themeFill="text2" w:themeFillTint="1A"/>
            <w:vAlign w:val="center"/>
          </w:tcPr>
          <w:p w14:paraId="77DA541C" w14:textId="22342CF0" w:rsidR="00E33DE5" w:rsidRPr="00E33DE5" w:rsidRDefault="00E33DE5" w:rsidP="00E33DE5">
            <w:pPr>
              <w:jc w:val="center"/>
              <w:rPr>
                <w:b/>
                <w:bCs/>
              </w:rPr>
            </w:pPr>
            <w:r w:rsidRPr="00E33DE5">
              <w:rPr>
                <w:b/>
                <w:bCs/>
              </w:rPr>
              <w:t>Minimum Volume</w:t>
            </w:r>
          </w:p>
        </w:tc>
        <w:tc>
          <w:tcPr>
            <w:tcW w:w="1862" w:type="dxa"/>
            <w:shd w:val="clear" w:color="auto" w:fill="DAE9F7" w:themeFill="text2" w:themeFillTint="1A"/>
            <w:vAlign w:val="center"/>
          </w:tcPr>
          <w:p w14:paraId="0DD9BB53" w14:textId="7CD4DF0F" w:rsidR="00E33DE5" w:rsidRPr="00E33DE5" w:rsidRDefault="00E33DE5" w:rsidP="00E33DE5">
            <w:pPr>
              <w:jc w:val="center"/>
              <w:rPr>
                <w:b/>
                <w:bCs/>
              </w:rPr>
            </w:pPr>
            <w:r w:rsidRPr="00E33DE5">
              <w:rPr>
                <w:b/>
                <w:bCs/>
              </w:rPr>
              <w:t>Shipping Requirements</w:t>
            </w:r>
          </w:p>
        </w:tc>
      </w:tr>
      <w:tr w:rsidR="00E33DE5" w14:paraId="1133185D" w14:textId="77777777" w:rsidTr="00876CBC">
        <w:tc>
          <w:tcPr>
            <w:tcW w:w="1705" w:type="dxa"/>
            <w:vMerge w:val="restart"/>
          </w:tcPr>
          <w:p w14:paraId="2301ACDC" w14:textId="77777777" w:rsidR="00E33DE5" w:rsidRPr="00E33DE5" w:rsidRDefault="00E33DE5" w:rsidP="00E33DE5">
            <w:pPr>
              <w:jc w:val="center"/>
              <w:rPr>
                <w:sz w:val="20"/>
                <w:szCs w:val="20"/>
              </w:rPr>
            </w:pPr>
          </w:p>
          <w:p w14:paraId="4FC8958F" w14:textId="77777777" w:rsidR="00E33DE5" w:rsidRPr="00E33DE5" w:rsidRDefault="00E33DE5" w:rsidP="00E33DE5">
            <w:pPr>
              <w:jc w:val="center"/>
              <w:rPr>
                <w:sz w:val="20"/>
                <w:szCs w:val="20"/>
              </w:rPr>
            </w:pPr>
          </w:p>
          <w:p w14:paraId="75DFD9EF" w14:textId="77777777" w:rsidR="00E33DE5" w:rsidRPr="00E33DE5" w:rsidRDefault="00E33DE5" w:rsidP="00E33DE5">
            <w:pPr>
              <w:jc w:val="center"/>
              <w:rPr>
                <w:sz w:val="20"/>
                <w:szCs w:val="20"/>
              </w:rPr>
            </w:pPr>
          </w:p>
          <w:p w14:paraId="78DC2EE4" w14:textId="5D1E7E4B" w:rsidR="00E33DE5" w:rsidRPr="00E33DE5" w:rsidRDefault="00E33DE5" w:rsidP="00E33DE5">
            <w:pPr>
              <w:jc w:val="center"/>
              <w:rPr>
                <w:sz w:val="20"/>
                <w:szCs w:val="20"/>
              </w:rPr>
            </w:pPr>
            <w:r w:rsidRPr="00E33DE5">
              <w:rPr>
                <w:sz w:val="20"/>
                <w:szCs w:val="20"/>
              </w:rPr>
              <w:t>Measles Virus Sequencing (Genotyping)</w:t>
            </w:r>
          </w:p>
          <w:p w14:paraId="31FFD651" w14:textId="77777777" w:rsidR="00E33DE5" w:rsidRPr="00E33DE5" w:rsidRDefault="00E33DE5" w:rsidP="00E33DE5">
            <w:pPr>
              <w:jc w:val="center"/>
              <w:rPr>
                <w:sz w:val="20"/>
                <w:szCs w:val="20"/>
              </w:rPr>
            </w:pPr>
          </w:p>
          <w:p w14:paraId="3ECDB412" w14:textId="77777777" w:rsidR="00E33DE5" w:rsidRPr="00E33DE5" w:rsidRDefault="00E33DE5" w:rsidP="00E33DE5">
            <w:pPr>
              <w:jc w:val="center"/>
              <w:rPr>
                <w:sz w:val="20"/>
                <w:szCs w:val="20"/>
              </w:rPr>
            </w:pPr>
          </w:p>
          <w:p w14:paraId="7481FDCA" w14:textId="76066CAE" w:rsidR="00E33DE5" w:rsidRPr="00E33DE5" w:rsidRDefault="00E33DE5" w:rsidP="00E33DE5">
            <w:pPr>
              <w:jc w:val="center"/>
              <w:rPr>
                <w:sz w:val="20"/>
                <w:szCs w:val="20"/>
              </w:rPr>
            </w:pPr>
            <w:r w:rsidRPr="00E33DE5">
              <w:rPr>
                <w:sz w:val="20"/>
                <w:szCs w:val="20"/>
              </w:rPr>
              <w:t>Measles Vaccine Virus Detection (MeVA)</w:t>
            </w:r>
          </w:p>
          <w:p w14:paraId="5133CAE7" w14:textId="77777777" w:rsidR="00E33DE5" w:rsidRPr="00E33DE5" w:rsidRDefault="00E33DE5" w:rsidP="00965391">
            <w:pPr>
              <w:rPr>
                <w:sz w:val="20"/>
                <w:szCs w:val="20"/>
              </w:rPr>
            </w:pPr>
          </w:p>
        </w:tc>
        <w:tc>
          <w:tcPr>
            <w:tcW w:w="2160" w:type="dxa"/>
            <w:vMerge w:val="restart"/>
          </w:tcPr>
          <w:p w14:paraId="1264B9B6" w14:textId="77777777" w:rsidR="00FA19AC" w:rsidRDefault="00FA19AC" w:rsidP="00E33DE5">
            <w:pPr>
              <w:jc w:val="center"/>
              <w:rPr>
                <w:sz w:val="20"/>
                <w:szCs w:val="20"/>
              </w:rPr>
            </w:pPr>
          </w:p>
          <w:p w14:paraId="3E09BAB7" w14:textId="77777777" w:rsidR="00FA19AC" w:rsidRDefault="00FA19AC" w:rsidP="00E33DE5">
            <w:pPr>
              <w:jc w:val="center"/>
              <w:rPr>
                <w:sz w:val="20"/>
                <w:szCs w:val="20"/>
              </w:rPr>
            </w:pPr>
          </w:p>
          <w:p w14:paraId="1E66C434" w14:textId="77777777" w:rsidR="00FA19AC" w:rsidRDefault="00FA19AC" w:rsidP="00E33DE5">
            <w:pPr>
              <w:jc w:val="center"/>
              <w:rPr>
                <w:sz w:val="20"/>
                <w:szCs w:val="20"/>
              </w:rPr>
            </w:pPr>
          </w:p>
          <w:p w14:paraId="556BF61F" w14:textId="164CE12A" w:rsidR="00E33DE5" w:rsidRPr="00E33DE5" w:rsidRDefault="00E33DE5" w:rsidP="00E33DE5">
            <w:pPr>
              <w:jc w:val="center"/>
              <w:rPr>
                <w:sz w:val="20"/>
                <w:szCs w:val="20"/>
              </w:rPr>
            </w:pPr>
            <w:r w:rsidRPr="00E33DE5">
              <w:rPr>
                <w:sz w:val="20"/>
                <w:szCs w:val="20"/>
              </w:rPr>
              <w:t>Vaccine Preventable Diseases Reference Centers</w:t>
            </w:r>
          </w:p>
          <w:p w14:paraId="29CDE9FD" w14:textId="14205440" w:rsidR="00E33DE5" w:rsidRPr="00E33DE5" w:rsidRDefault="00E33DE5" w:rsidP="00E33DE5">
            <w:pPr>
              <w:jc w:val="center"/>
              <w:rPr>
                <w:sz w:val="20"/>
                <w:szCs w:val="20"/>
              </w:rPr>
            </w:pPr>
          </w:p>
          <w:p w14:paraId="5B9669DF" w14:textId="77777777" w:rsidR="00E33DE5" w:rsidRPr="00E33DE5" w:rsidRDefault="00E33DE5" w:rsidP="00E33DE5">
            <w:pPr>
              <w:jc w:val="center"/>
              <w:rPr>
                <w:sz w:val="20"/>
                <w:szCs w:val="20"/>
              </w:rPr>
            </w:pPr>
          </w:p>
          <w:p w14:paraId="72D94627" w14:textId="77777777" w:rsidR="00E33DE5" w:rsidRPr="00E33DE5" w:rsidRDefault="00E33DE5" w:rsidP="00E33DE5">
            <w:pPr>
              <w:jc w:val="center"/>
              <w:rPr>
                <w:sz w:val="20"/>
                <w:szCs w:val="20"/>
              </w:rPr>
            </w:pPr>
          </w:p>
          <w:p w14:paraId="09865C14" w14:textId="77777777" w:rsidR="00E33DE5" w:rsidRPr="00E33DE5" w:rsidRDefault="00E33DE5" w:rsidP="00E33DE5">
            <w:pPr>
              <w:jc w:val="center"/>
              <w:rPr>
                <w:sz w:val="20"/>
                <w:szCs w:val="20"/>
              </w:rPr>
            </w:pPr>
          </w:p>
          <w:p w14:paraId="34687D7C" w14:textId="146533F1" w:rsidR="00E33DE5" w:rsidRPr="00E33DE5" w:rsidRDefault="00E33DE5" w:rsidP="00E33DE5">
            <w:pPr>
              <w:jc w:val="center"/>
              <w:rPr>
                <w:sz w:val="20"/>
                <w:szCs w:val="20"/>
              </w:rPr>
            </w:pPr>
            <w:r w:rsidRPr="00E33DE5">
              <w:rPr>
                <w:sz w:val="20"/>
                <w:szCs w:val="20"/>
              </w:rPr>
              <w:t>Centers for Disease Control and Prevention</w:t>
            </w:r>
          </w:p>
          <w:p w14:paraId="4AFBE2BF" w14:textId="77777777" w:rsidR="00E33DE5" w:rsidRPr="00E33DE5" w:rsidRDefault="00E33DE5" w:rsidP="00E33DE5">
            <w:pPr>
              <w:jc w:val="center"/>
              <w:rPr>
                <w:sz w:val="20"/>
                <w:szCs w:val="20"/>
              </w:rPr>
            </w:pPr>
          </w:p>
        </w:tc>
        <w:tc>
          <w:tcPr>
            <w:tcW w:w="2375" w:type="dxa"/>
          </w:tcPr>
          <w:p w14:paraId="7140E4CC" w14:textId="0B025704" w:rsidR="00E33DE5" w:rsidRPr="00E33DE5" w:rsidRDefault="00E33DE5" w:rsidP="00E33DE5">
            <w:pPr>
              <w:jc w:val="center"/>
              <w:rPr>
                <w:sz w:val="20"/>
                <w:szCs w:val="20"/>
              </w:rPr>
            </w:pPr>
            <w:r w:rsidRPr="00E33DE5">
              <w:rPr>
                <w:sz w:val="20"/>
                <w:szCs w:val="20"/>
              </w:rPr>
              <w:t xml:space="preserve">◦Throat Swab in </w:t>
            </w:r>
            <w:r w:rsidR="00A56552">
              <w:rPr>
                <w:sz w:val="20"/>
                <w:szCs w:val="20"/>
              </w:rPr>
              <w:t xml:space="preserve">viral </w:t>
            </w:r>
            <w:r w:rsidRPr="00E33DE5">
              <w:rPr>
                <w:sz w:val="20"/>
                <w:szCs w:val="20"/>
              </w:rPr>
              <w:t>transport media</w:t>
            </w:r>
          </w:p>
          <w:p w14:paraId="65088C7F" w14:textId="77777777" w:rsidR="00E33DE5" w:rsidRPr="00E33DE5" w:rsidRDefault="00E33DE5" w:rsidP="00E33DE5">
            <w:pPr>
              <w:jc w:val="center"/>
              <w:rPr>
                <w:sz w:val="20"/>
                <w:szCs w:val="20"/>
              </w:rPr>
            </w:pPr>
          </w:p>
          <w:p w14:paraId="4CCB1D1D" w14:textId="5178D571" w:rsidR="00E33DE5" w:rsidRPr="00E33DE5" w:rsidRDefault="00E33DE5" w:rsidP="00E33DE5">
            <w:pPr>
              <w:jc w:val="center"/>
              <w:rPr>
                <w:sz w:val="20"/>
                <w:szCs w:val="20"/>
              </w:rPr>
            </w:pPr>
            <w:r w:rsidRPr="00E33DE5">
              <w:rPr>
                <w:sz w:val="20"/>
                <w:szCs w:val="20"/>
              </w:rPr>
              <w:t>◦Nasopharyngeal (NP)</w:t>
            </w:r>
          </w:p>
          <w:p w14:paraId="61965813" w14:textId="58E35689" w:rsidR="00E33DE5" w:rsidRPr="00E33DE5" w:rsidRDefault="00E33DE5" w:rsidP="00E33DE5">
            <w:pPr>
              <w:jc w:val="center"/>
              <w:rPr>
                <w:sz w:val="20"/>
                <w:szCs w:val="20"/>
              </w:rPr>
            </w:pPr>
            <w:r w:rsidRPr="00E33DE5">
              <w:rPr>
                <w:sz w:val="20"/>
                <w:szCs w:val="20"/>
              </w:rPr>
              <w:t>swab in</w:t>
            </w:r>
            <w:r w:rsidR="00A56552">
              <w:rPr>
                <w:sz w:val="20"/>
                <w:szCs w:val="20"/>
              </w:rPr>
              <w:t xml:space="preserve"> viral</w:t>
            </w:r>
            <w:r w:rsidRPr="00E33DE5">
              <w:rPr>
                <w:sz w:val="20"/>
                <w:szCs w:val="20"/>
              </w:rPr>
              <w:t xml:space="preserve"> transport media</w:t>
            </w:r>
          </w:p>
          <w:p w14:paraId="636F239A" w14:textId="77777777" w:rsidR="00E33DE5" w:rsidRPr="00E33DE5" w:rsidRDefault="00E33DE5" w:rsidP="00E33DE5">
            <w:pPr>
              <w:jc w:val="center"/>
              <w:rPr>
                <w:sz w:val="20"/>
                <w:szCs w:val="20"/>
              </w:rPr>
            </w:pPr>
          </w:p>
          <w:p w14:paraId="5FBDB561" w14:textId="23A12EE9" w:rsidR="00E33DE5" w:rsidRPr="00E33DE5" w:rsidRDefault="00E33DE5" w:rsidP="00E33DE5">
            <w:pPr>
              <w:jc w:val="center"/>
              <w:rPr>
                <w:sz w:val="20"/>
                <w:szCs w:val="20"/>
              </w:rPr>
            </w:pPr>
            <w:r w:rsidRPr="00E33DE5">
              <w:rPr>
                <w:sz w:val="20"/>
                <w:szCs w:val="20"/>
              </w:rPr>
              <w:t>◦Cerebrospinal Fluid (CSF)</w:t>
            </w:r>
          </w:p>
          <w:p w14:paraId="3C36A9A1" w14:textId="4909C3DF" w:rsidR="00E33DE5" w:rsidRPr="00E33DE5" w:rsidRDefault="00E33DE5" w:rsidP="00E33DE5">
            <w:pPr>
              <w:jc w:val="center"/>
              <w:rPr>
                <w:sz w:val="20"/>
                <w:szCs w:val="20"/>
              </w:rPr>
            </w:pPr>
            <w:r w:rsidRPr="00E33DE5">
              <w:rPr>
                <w:sz w:val="20"/>
                <w:szCs w:val="20"/>
              </w:rPr>
              <w:t xml:space="preserve">Acceptable </w:t>
            </w:r>
            <w:r w:rsidR="00A56552">
              <w:rPr>
                <w:sz w:val="20"/>
                <w:szCs w:val="20"/>
              </w:rPr>
              <w:t>at Minnesota VPDRC Only</w:t>
            </w:r>
          </w:p>
        </w:tc>
        <w:tc>
          <w:tcPr>
            <w:tcW w:w="1248" w:type="dxa"/>
          </w:tcPr>
          <w:p w14:paraId="153E22B8" w14:textId="77777777" w:rsidR="00E33DE5" w:rsidRPr="00E33DE5" w:rsidRDefault="00E33DE5" w:rsidP="00E33DE5">
            <w:pPr>
              <w:jc w:val="center"/>
              <w:rPr>
                <w:sz w:val="20"/>
                <w:szCs w:val="20"/>
              </w:rPr>
            </w:pPr>
          </w:p>
          <w:p w14:paraId="5E155A8E" w14:textId="77777777" w:rsidR="00E33DE5" w:rsidRPr="00E33DE5" w:rsidRDefault="00E33DE5" w:rsidP="00E33DE5">
            <w:pPr>
              <w:jc w:val="center"/>
              <w:rPr>
                <w:sz w:val="20"/>
                <w:szCs w:val="20"/>
              </w:rPr>
            </w:pPr>
          </w:p>
          <w:p w14:paraId="50FA9E9F" w14:textId="77777777" w:rsidR="00E33DE5" w:rsidRPr="00E33DE5" w:rsidRDefault="00E33DE5" w:rsidP="00E33DE5">
            <w:pPr>
              <w:jc w:val="center"/>
              <w:rPr>
                <w:sz w:val="20"/>
                <w:szCs w:val="20"/>
              </w:rPr>
            </w:pPr>
          </w:p>
          <w:p w14:paraId="04F22AA4" w14:textId="77777777" w:rsidR="00E33DE5" w:rsidRPr="00E33DE5" w:rsidRDefault="00E33DE5" w:rsidP="00E33DE5">
            <w:pPr>
              <w:jc w:val="center"/>
              <w:rPr>
                <w:sz w:val="20"/>
                <w:szCs w:val="20"/>
              </w:rPr>
            </w:pPr>
          </w:p>
          <w:p w14:paraId="18166314" w14:textId="5CD57B90" w:rsidR="00E33DE5" w:rsidRPr="00E33DE5" w:rsidRDefault="00E33DE5" w:rsidP="00E33DE5">
            <w:pPr>
              <w:jc w:val="center"/>
              <w:rPr>
                <w:sz w:val="20"/>
                <w:szCs w:val="20"/>
              </w:rPr>
            </w:pPr>
            <w:r w:rsidRPr="00E33DE5">
              <w:rPr>
                <w:sz w:val="20"/>
                <w:szCs w:val="20"/>
              </w:rPr>
              <w:t>250 μL</w:t>
            </w:r>
          </w:p>
        </w:tc>
        <w:tc>
          <w:tcPr>
            <w:tcW w:w="1862" w:type="dxa"/>
          </w:tcPr>
          <w:p w14:paraId="7A03971C" w14:textId="77777777" w:rsidR="00FA19AC" w:rsidRDefault="00FA19AC" w:rsidP="00E33DE5">
            <w:pPr>
              <w:jc w:val="center"/>
              <w:rPr>
                <w:sz w:val="20"/>
                <w:szCs w:val="20"/>
              </w:rPr>
            </w:pPr>
          </w:p>
          <w:p w14:paraId="1A608A35" w14:textId="77777777" w:rsidR="00FA19AC" w:rsidRDefault="00FA19AC" w:rsidP="00E33DE5">
            <w:pPr>
              <w:jc w:val="center"/>
              <w:rPr>
                <w:sz w:val="20"/>
                <w:szCs w:val="20"/>
              </w:rPr>
            </w:pPr>
          </w:p>
          <w:p w14:paraId="10D9F27E" w14:textId="76C90F65" w:rsidR="00E33DE5" w:rsidRPr="00E33DE5" w:rsidRDefault="00E33DE5" w:rsidP="00E33DE5">
            <w:pPr>
              <w:jc w:val="center"/>
              <w:rPr>
                <w:sz w:val="20"/>
                <w:szCs w:val="20"/>
              </w:rPr>
            </w:pPr>
            <w:r w:rsidRPr="00E33DE5">
              <w:rPr>
                <w:sz w:val="20"/>
                <w:szCs w:val="20"/>
              </w:rPr>
              <w:t>Ship overnight</w:t>
            </w:r>
          </w:p>
          <w:p w14:paraId="7649A799" w14:textId="77777777" w:rsidR="00FA19AC" w:rsidRDefault="00FA19AC" w:rsidP="00E33DE5">
            <w:pPr>
              <w:jc w:val="center"/>
              <w:rPr>
                <w:sz w:val="20"/>
                <w:szCs w:val="20"/>
              </w:rPr>
            </w:pPr>
          </w:p>
          <w:p w14:paraId="2DE3A4B9" w14:textId="6781BE5A" w:rsidR="00E33DE5" w:rsidRPr="00E33DE5" w:rsidRDefault="00E33DE5" w:rsidP="00E33DE5">
            <w:pPr>
              <w:jc w:val="center"/>
              <w:rPr>
                <w:sz w:val="20"/>
                <w:szCs w:val="20"/>
              </w:rPr>
            </w:pPr>
            <w:r w:rsidRPr="00E33DE5">
              <w:rPr>
                <w:sz w:val="20"/>
                <w:szCs w:val="20"/>
              </w:rPr>
              <w:t>Store at -70°C, ship on dry ice</w:t>
            </w:r>
          </w:p>
        </w:tc>
      </w:tr>
      <w:tr w:rsidR="00E33DE5" w14:paraId="0A30CA5A" w14:textId="77777777" w:rsidTr="00876CBC">
        <w:tc>
          <w:tcPr>
            <w:tcW w:w="1705" w:type="dxa"/>
            <w:vMerge/>
          </w:tcPr>
          <w:p w14:paraId="703A6260" w14:textId="77777777" w:rsidR="00E33DE5" w:rsidRPr="00E33DE5" w:rsidRDefault="00E33DE5" w:rsidP="00965391">
            <w:pPr>
              <w:rPr>
                <w:sz w:val="20"/>
                <w:szCs w:val="20"/>
              </w:rPr>
            </w:pPr>
          </w:p>
        </w:tc>
        <w:tc>
          <w:tcPr>
            <w:tcW w:w="2160" w:type="dxa"/>
            <w:vMerge/>
          </w:tcPr>
          <w:p w14:paraId="0ADCFEBB" w14:textId="77777777" w:rsidR="00E33DE5" w:rsidRPr="00E33DE5" w:rsidRDefault="00E33DE5" w:rsidP="00965391">
            <w:pPr>
              <w:rPr>
                <w:sz w:val="20"/>
                <w:szCs w:val="20"/>
              </w:rPr>
            </w:pPr>
          </w:p>
        </w:tc>
        <w:tc>
          <w:tcPr>
            <w:tcW w:w="2375" w:type="dxa"/>
          </w:tcPr>
          <w:p w14:paraId="6376246D" w14:textId="77777777" w:rsidR="00E33DE5" w:rsidRPr="00E33DE5" w:rsidRDefault="00E33DE5" w:rsidP="00E33DE5">
            <w:pPr>
              <w:jc w:val="center"/>
              <w:rPr>
                <w:sz w:val="20"/>
                <w:szCs w:val="20"/>
              </w:rPr>
            </w:pPr>
          </w:p>
          <w:p w14:paraId="7AC4FAC8" w14:textId="77777777" w:rsidR="00E33DE5" w:rsidRPr="00E33DE5" w:rsidRDefault="00E33DE5" w:rsidP="00E33DE5">
            <w:pPr>
              <w:jc w:val="center"/>
              <w:rPr>
                <w:sz w:val="20"/>
                <w:szCs w:val="20"/>
              </w:rPr>
            </w:pPr>
          </w:p>
          <w:p w14:paraId="2FDA426E" w14:textId="77777777" w:rsidR="00E33DE5" w:rsidRPr="00E33DE5" w:rsidRDefault="00E33DE5" w:rsidP="00E33DE5">
            <w:pPr>
              <w:jc w:val="center"/>
              <w:rPr>
                <w:sz w:val="20"/>
                <w:szCs w:val="20"/>
              </w:rPr>
            </w:pPr>
          </w:p>
          <w:p w14:paraId="5B24F72A" w14:textId="0ABB60AF" w:rsidR="00E33DE5" w:rsidRPr="00E33DE5" w:rsidRDefault="00E33DE5" w:rsidP="00E33DE5">
            <w:pPr>
              <w:jc w:val="center"/>
              <w:rPr>
                <w:sz w:val="20"/>
                <w:szCs w:val="20"/>
              </w:rPr>
            </w:pPr>
            <w:r w:rsidRPr="00E33DE5">
              <w:rPr>
                <w:sz w:val="20"/>
                <w:szCs w:val="20"/>
              </w:rPr>
              <w:t>◦Urine</w:t>
            </w:r>
          </w:p>
        </w:tc>
        <w:tc>
          <w:tcPr>
            <w:tcW w:w="1248" w:type="dxa"/>
          </w:tcPr>
          <w:p w14:paraId="66854D22" w14:textId="77777777" w:rsidR="00E33DE5" w:rsidRPr="00E33DE5" w:rsidRDefault="00E33DE5" w:rsidP="00E33DE5">
            <w:pPr>
              <w:jc w:val="center"/>
              <w:rPr>
                <w:sz w:val="20"/>
                <w:szCs w:val="20"/>
              </w:rPr>
            </w:pPr>
          </w:p>
          <w:p w14:paraId="786EACCB" w14:textId="77777777" w:rsidR="00E33DE5" w:rsidRPr="00E33DE5" w:rsidRDefault="00E33DE5" w:rsidP="00E33DE5">
            <w:pPr>
              <w:jc w:val="center"/>
              <w:rPr>
                <w:sz w:val="20"/>
                <w:szCs w:val="20"/>
              </w:rPr>
            </w:pPr>
          </w:p>
          <w:p w14:paraId="040EAFD1" w14:textId="77777777" w:rsidR="00E33DE5" w:rsidRPr="00E33DE5" w:rsidRDefault="00E33DE5" w:rsidP="00E33DE5">
            <w:pPr>
              <w:jc w:val="center"/>
              <w:rPr>
                <w:sz w:val="20"/>
                <w:szCs w:val="20"/>
              </w:rPr>
            </w:pPr>
          </w:p>
          <w:p w14:paraId="342AFF0B" w14:textId="595A9B8F" w:rsidR="00E33DE5" w:rsidRPr="00E33DE5" w:rsidRDefault="00E33DE5" w:rsidP="00E33DE5">
            <w:pPr>
              <w:jc w:val="center"/>
              <w:rPr>
                <w:sz w:val="20"/>
                <w:szCs w:val="20"/>
              </w:rPr>
            </w:pPr>
            <w:r w:rsidRPr="00E33DE5">
              <w:rPr>
                <w:sz w:val="20"/>
                <w:szCs w:val="20"/>
              </w:rPr>
              <w:t>50 mL</w:t>
            </w:r>
          </w:p>
        </w:tc>
        <w:tc>
          <w:tcPr>
            <w:tcW w:w="1862" w:type="dxa"/>
          </w:tcPr>
          <w:p w14:paraId="1F4BF07F" w14:textId="427BA9DC" w:rsidR="00E33DE5" w:rsidRPr="00E33DE5" w:rsidRDefault="00E33DE5" w:rsidP="00E33DE5">
            <w:pPr>
              <w:rPr>
                <w:sz w:val="20"/>
                <w:szCs w:val="20"/>
              </w:rPr>
            </w:pPr>
            <w:r w:rsidRPr="00E33DE5">
              <w:rPr>
                <w:sz w:val="20"/>
                <w:szCs w:val="20"/>
              </w:rPr>
              <w:t>Ship overnight</w:t>
            </w:r>
          </w:p>
          <w:p w14:paraId="25E6E45F" w14:textId="77777777" w:rsidR="00FA19AC" w:rsidRDefault="00FA19AC" w:rsidP="00E33DE5">
            <w:pPr>
              <w:rPr>
                <w:sz w:val="20"/>
                <w:szCs w:val="20"/>
              </w:rPr>
            </w:pPr>
          </w:p>
          <w:p w14:paraId="3F55F654" w14:textId="02AF9B56" w:rsidR="00E33DE5" w:rsidRPr="00E33DE5" w:rsidRDefault="00E33DE5" w:rsidP="00E33DE5">
            <w:pPr>
              <w:rPr>
                <w:sz w:val="20"/>
                <w:szCs w:val="20"/>
              </w:rPr>
            </w:pPr>
            <w:r w:rsidRPr="00E33DE5">
              <w:rPr>
                <w:sz w:val="20"/>
                <w:szCs w:val="20"/>
              </w:rPr>
              <w:t>Store at 2-8°C, ship on cold packs</w:t>
            </w:r>
          </w:p>
          <w:p w14:paraId="4B0C6750" w14:textId="77777777" w:rsidR="00FA19AC" w:rsidRDefault="00FA19AC" w:rsidP="00E33DE5">
            <w:pPr>
              <w:rPr>
                <w:sz w:val="20"/>
                <w:szCs w:val="20"/>
              </w:rPr>
            </w:pPr>
          </w:p>
          <w:p w14:paraId="70871B57" w14:textId="77707D20" w:rsidR="00E33DE5" w:rsidRPr="00E33DE5" w:rsidRDefault="00E33DE5" w:rsidP="00E33DE5">
            <w:pPr>
              <w:rPr>
                <w:sz w:val="20"/>
                <w:szCs w:val="20"/>
              </w:rPr>
            </w:pPr>
            <w:r w:rsidRPr="00E33DE5">
              <w:rPr>
                <w:sz w:val="20"/>
                <w:szCs w:val="20"/>
              </w:rPr>
              <w:t>Must be within 7 days of collection</w:t>
            </w:r>
          </w:p>
        </w:tc>
      </w:tr>
    </w:tbl>
    <w:p w14:paraId="2755A0B2" w14:textId="77777777" w:rsidR="00E33DE5" w:rsidRPr="00965391" w:rsidRDefault="00E33DE5" w:rsidP="00965391"/>
    <w:sectPr w:rsidR="00E33DE5" w:rsidRPr="009653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D64355"/>
    <w:multiLevelType w:val="hybridMultilevel"/>
    <w:tmpl w:val="93627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DF310D"/>
    <w:multiLevelType w:val="hybridMultilevel"/>
    <w:tmpl w:val="F94C6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9967395">
    <w:abstractNumId w:val="1"/>
  </w:num>
  <w:num w:numId="2" w16cid:durableId="1515995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236"/>
    <w:rsid w:val="00004B0C"/>
    <w:rsid w:val="00016D04"/>
    <w:rsid w:val="0004423E"/>
    <w:rsid w:val="000461FF"/>
    <w:rsid w:val="000838E4"/>
    <w:rsid w:val="000B0D30"/>
    <w:rsid w:val="000B6573"/>
    <w:rsid w:val="000D44D7"/>
    <w:rsid w:val="000F03D5"/>
    <w:rsid w:val="0013322F"/>
    <w:rsid w:val="00145AA1"/>
    <w:rsid w:val="00155B14"/>
    <w:rsid w:val="00170B36"/>
    <w:rsid w:val="00170F8E"/>
    <w:rsid w:val="0018006C"/>
    <w:rsid w:val="001B5188"/>
    <w:rsid w:val="001D7CBB"/>
    <w:rsid w:val="001F1E93"/>
    <w:rsid w:val="00215CAA"/>
    <w:rsid w:val="00215FDC"/>
    <w:rsid w:val="00232676"/>
    <w:rsid w:val="00237B47"/>
    <w:rsid w:val="00244089"/>
    <w:rsid w:val="002A6289"/>
    <w:rsid w:val="002C1912"/>
    <w:rsid w:val="002C7923"/>
    <w:rsid w:val="00302405"/>
    <w:rsid w:val="0031067B"/>
    <w:rsid w:val="003167DC"/>
    <w:rsid w:val="0032264D"/>
    <w:rsid w:val="003732B2"/>
    <w:rsid w:val="00375F6A"/>
    <w:rsid w:val="003B23A1"/>
    <w:rsid w:val="003C4EDD"/>
    <w:rsid w:val="003C6CE5"/>
    <w:rsid w:val="003E60C1"/>
    <w:rsid w:val="0042113C"/>
    <w:rsid w:val="00425CF1"/>
    <w:rsid w:val="0045414E"/>
    <w:rsid w:val="00473391"/>
    <w:rsid w:val="00474514"/>
    <w:rsid w:val="004840D2"/>
    <w:rsid w:val="00491D98"/>
    <w:rsid w:val="004A0210"/>
    <w:rsid w:val="00502E9E"/>
    <w:rsid w:val="00506E17"/>
    <w:rsid w:val="00524C98"/>
    <w:rsid w:val="00526F6A"/>
    <w:rsid w:val="00553DA6"/>
    <w:rsid w:val="0056541F"/>
    <w:rsid w:val="00585256"/>
    <w:rsid w:val="00587D2E"/>
    <w:rsid w:val="0059131C"/>
    <w:rsid w:val="005B5EB4"/>
    <w:rsid w:val="005B612C"/>
    <w:rsid w:val="005C3888"/>
    <w:rsid w:val="005C46D9"/>
    <w:rsid w:val="005F1174"/>
    <w:rsid w:val="00607838"/>
    <w:rsid w:val="00640926"/>
    <w:rsid w:val="006418A8"/>
    <w:rsid w:val="006846B3"/>
    <w:rsid w:val="006878EF"/>
    <w:rsid w:val="0069307B"/>
    <w:rsid w:val="006A563D"/>
    <w:rsid w:val="006B5B74"/>
    <w:rsid w:val="006F386B"/>
    <w:rsid w:val="00700D8C"/>
    <w:rsid w:val="00724F83"/>
    <w:rsid w:val="0072718E"/>
    <w:rsid w:val="00734F46"/>
    <w:rsid w:val="00746298"/>
    <w:rsid w:val="00773014"/>
    <w:rsid w:val="00781941"/>
    <w:rsid w:val="00782BC8"/>
    <w:rsid w:val="00791C89"/>
    <w:rsid w:val="007A0AE4"/>
    <w:rsid w:val="007B15B3"/>
    <w:rsid w:val="007B502D"/>
    <w:rsid w:val="007B6488"/>
    <w:rsid w:val="007E1587"/>
    <w:rsid w:val="007E6FA5"/>
    <w:rsid w:val="007F049F"/>
    <w:rsid w:val="007F2689"/>
    <w:rsid w:val="00846ACB"/>
    <w:rsid w:val="00851E0A"/>
    <w:rsid w:val="008544C1"/>
    <w:rsid w:val="00862F99"/>
    <w:rsid w:val="00876CBC"/>
    <w:rsid w:val="008D1E42"/>
    <w:rsid w:val="008D6DEB"/>
    <w:rsid w:val="008E33E5"/>
    <w:rsid w:val="008E44D9"/>
    <w:rsid w:val="008E56BF"/>
    <w:rsid w:val="008F29D2"/>
    <w:rsid w:val="00905950"/>
    <w:rsid w:val="0093016A"/>
    <w:rsid w:val="00933918"/>
    <w:rsid w:val="00936229"/>
    <w:rsid w:val="00940827"/>
    <w:rsid w:val="009565C3"/>
    <w:rsid w:val="00965391"/>
    <w:rsid w:val="009B1CD3"/>
    <w:rsid w:val="009C1B80"/>
    <w:rsid w:val="009D0C12"/>
    <w:rsid w:val="009D0EAA"/>
    <w:rsid w:val="009D5D51"/>
    <w:rsid w:val="009E542A"/>
    <w:rsid w:val="00A013D8"/>
    <w:rsid w:val="00A12E2E"/>
    <w:rsid w:val="00A14CC0"/>
    <w:rsid w:val="00A309E6"/>
    <w:rsid w:val="00A56552"/>
    <w:rsid w:val="00A76A34"/>
    <w:rsid w:val="00A8142A"/>
    <w:rsid w:val="00AC6D28"/>
    <w:rsid w:val="00AD03D0"/>
    <w:rsid w:val="00AD761F"/>
    <w:rsid w:val="00B500C4"/>
    <w:rsid w:val="00B63236"/>
    <w:rsid w:val="00B65B28"/>
    <w:rsid w:val="00B77AE0"/>
    <w:rsid w:val="00B96B08"/>
    <w:rsid w:val="00BA7416"/>
    <w:rsid w:val="00BC3B88"/>
    <w:rsid w:val="00BD202E"/>
    <w:rsid w:val="00BF45B8"/>
    <w:rsid w:val="00C0060C"/>
    <w:rsid w:val="00C0070E"/>
    <w:rsid w:val="00C078C5"/>
    <w:rsid w:val="00C1141D"/>
    <w:rsid w:val="00C178DF"/>
    <w:rsid w:val="00C46CF0"/>
    <w:rsid w:val="00C60FF5"/>
    <w:rsid w:val="00C66648"/>
    <w:rsid w:val="00C715D3"/>
    <w:rsid w:val="00CC5BD8"/>
    <w:rsid w:val="00CE7485"/>
    <w:rsid w:val="00CF2D6E"/>
    <w:rsid w:val="00CF3AE1"/>
    <w:rsid w:val="00D13816"/>
    <w:rsid w:val="00D141BF"/>
    <w:rsid w:val="00D16E71"/>
    <w:rsid w:val="00D31F7C"/>
    <w:rsid w:val="00D57893"/>
    <w:rsid w:val="00D63714"/>
    <w:rsid w:val="00D764D2"/>
    <w:rsid w:val="00D77FB0"/>
    <w:rsid w:val="00D92C61"/>
    <w:rsid w:val="00DA19F9"/>
    <w:rsid w:val="00DA4065"/>
    <w:rsid w:val="00DA4668"/>
    <w:rsid w:val="00DD1E89"/>
    <w:rsid w:val="00DE03F6"/>
    <w:rsid w:val="00E02B44"/>
    <w:rsid w:val="00E1176E"/>
    <w:rsid w:val="00E23AB3"/>
    <w:rsid w:val="00E33DE5"/>
    <w:rsid w:val="00E55BA4"/>
    <w:rsid w:val="00E82EE6"/>
    <w:rsid w:val="00EB552D"/>
    <w:rsid w:val="00ED3A15"/>
    <w:rsid w:val="00EE541B"/>
    <w:rsid w:val="00EE7AEF"/>
    <w:rsid w:val="00EF22B0"/>
    <w:rsid w:val="00F110DC"/>
    <w:rsid w:val="00F1576F"/>
    <w:rsid w:val="00F22D5D"/>
    <w:rsid w:val="00F74F16"/>
    <w:rsid w:val="00FA19AC"/>
    <w:rsid w:val="00FA7D71"/>
    <w:rsid w:val="00FC4C36"/>
    <w:rsid w:val="00FE372B"/>
    <w:rsid w:val="03F88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2A481"/>
  <w15:chartTrackingRefBased/>
  <w15:docId w15:val="{7A25B138-943F-433A-B46C-CC77E4C9E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32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32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32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32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32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32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32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32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32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32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32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32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32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32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32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32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32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3236"/>
    <w:rPr>
      <w:rFonts w:eastAsiaTheme="majorEastAsia" w:cstheme="majorBidi"/>
      <w:color w:val="272727" w:themeColor="text1" w:themeTint="D8"/>
    </w:rPr>
  </w:style>
  <w:style w:type="paragraph" w:styleId="Title">
    <w:name w:val="Title"/>
    <w:basedOn w:val="Normal"/>
    <w:next w:val="Normal"/>
    <w:link w:val="TitleChar"/>
    <w:uiPriority w:val="10"/>
    <w:qFormat/>
    <w:rsid w:val="00B632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32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32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32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3236"/>
    <w:pPr>
      <w:spacing w:before="160"/>
      <w:jc w:val="center"/>
    </w:pPr>
    <w:rPr>
      <w:i/>
      <w:iCs/>
      <w:color w:val="404040" w:themeColor="text1" w:themeTint="BF"/>
    </w:rPr>
  </w:style>
  <w:style w:type="character" w:customStyle="1" w:styleId="QuoteChar">
    <w:name w:val="Quote Char"/>
    <w:basedOn w:val="DefaultParagraphFont"/>
    <w:link w:val="Quote"/>
    <w:uiPriority w:val="29"/>
    <w:rsid w:val="00B63236"/>
    <w:rPr>
      <w:i/>
      <w:iCs/>
      <w:color w:val="404040" w:themeColor="text1" w:themeTint="BF"/>
    </w:rPr>
  </w:style>
  <w:style w:type="paragraph" w:styleId="ListParagraph">
    <w:name w:val="List Paragraph"/>
    <w:basedOn w:val="Normal"/>
    <w:uiPriority w:val="34"/>
    <w:qFormat/>
    <w:rsid w:val="00B63236"/>
    <w:pPr>
      <w:ind w:left="720"/>
      <w:contextualSpacing/>
    </w:pPr>
  </w:style>
  <w:style w:type="character" w:styleId="IntenseEmphasis">
    <w:name w:val="Intense Emphasis"/>
    <w:basedOn w:val="DefaultParagraphFont"/>
    <w:uiPriority w:val="21"/>
    <w:qFormat/>
    <w:rsid w:val="00B63236"/>
    <w:rPr>
      <w:i/>
      <w:iCs/>
      <w:color w:val="0F4761" w:themeColor="accent1" w:themeShade="BF"/>
    </w:rPr>
  </w:style>
  <w:style w:type="paragraph" w:styleId="IntenseQuote">
    <w:name w:val="Intense Quote"/>
    <w:basedOn w:val="Normal"/>
    <w:next w:val="Normal"/>
    <w:link w:val="IntenseQuoteChar"/>
    <w:uiPriority w:val="30"/>
    <w:qFormat/>
    <w:rsid w:val="00B632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3236"/>
    <w:rPr>
      <w:i/>
      <w:iCs/>
      <w:color w:val="0F4761" w:themeColor="accent1" w:themeShade="BF"/>
    </w:rPr>
  </w:style>
  <w:style w:type="character" w:styleId="IntenseReference">
    <w:name w:val="Intense Reference"/>
    <w:basedOn w:val="DefaultParagraphFont"/>
    <w:uiPriority w:val="32"/>
    <w:qFormat/>
    <w:rsid w:val="00B63236"/>
    <w:rPr>
      <w:b/>
      <w:bCs/>
      <w:smallCaps/>
      <w:color w:val="0F4761" w:themeColor="accent1" w:themeShade="BF"/>
      <w:spacing w:val="5"/>
    </w:rPr>
  </w:style>
  <w:style w:type="character" w:styleId="Hyperlink">
    <w:name w:val="Hyperlink"/>
    <w:basedOn w:val="DefaultParagraphFont"/>
    <w:uiPriority w:val="99"/>
    <w:unhideWhenUsed/>
    <w:rsid w:val="00965391"/>
    <w:rPr>
      <w:color w:val="467886" w:themeColor="hyperlink"/>
      <w:u w:val="single"/>
    </w:rPr>
  </w:style>
  <w:style w:type="character" w:styleId="UnresolvedMention">
    <w:name w:val="Unresolved Mention"/>
    <w:basedOn w:val="DefaultParagraphFont"/>
    <w:uiPriority w:val="99"/>
    <w:semiHidden/>
    <w:unhideWhenUsed/>
    <w:rsid w:val="00965391"/>
    <w:rPr>
      <w:color w:val="605E5C"/>
      <w:shd w:val="clear" w:color="auto" w:fill="E1DFDD"/>
    </w:rPr>
  </w:style>
  <w:style w:type="character" w:styleId="FollowedHyperlink">
    <w:name w:val="FollowedHyperlink"/>
    <w:basedOn w:val="DefaultParagraphFont"/>
    <w:uiPriority w:val="99"/>
    <w:semiHidden/>
    <w:unhideWhenUsed/>
    <w:rsid w:val="00BD202E"/>
    <w:rPr>
      <w:color w:val="96607D" w:themeColor="followedHyperlink"/>
      <w:u w:val="single"/>
    </w:rPr>
  </w:style>
  <w:style w:type="character" w:styleId="CommentReference">
    <w:name w:val="annotation reference"/>
    <w:basedOn w:val="DefaultParagraphFont"/>
    <w:uiPriority w:val="99"/>
    <w:semiHidden/>
    <w:unhideWhenUsed/>
    <w:rsid w:val="00553DA6"/>
    <w:rPr>
      <w:sz w:val="16"/>
      <w:szCs w:val="16"/>
    </w:rPr>
  </w:style>
  <w:style w:type="paragraph" w:styleId="CommentText">
    <w:name w:val="annotation text"/>
    <w:basedOn w:val="Normal"/>
    <w:link w:val="CommentTextChar"/>
    <w:uiPriority w:val="99"/>
    <w:unhideWhenUsed/>
    <w:rsid w:val="00553DA6"/>
    <w:pPr>
      <w:spacing w:line="240" w:lineRule="auto"/>
    </w:pPr>
    <w:rPr>
      <w:sz w:val="20"/>
      <w:szCs w:val="20"/>
    </w:rPr>
  </w:style>
  <w:style w:type="character" w:customStyle="1" w:styleId="CommentTextChar">
    <w:name w:val="Comment Text Char"/>
    <w:basedOn w:val="DefaultParagraphFont"/>
    <w:link w:val="CommentText"/>
    <w:uiPriority w:val="99"/>
    <w:rsid w:val="00553DA6"/>
    <w:rPr>
      <w:sz w:val="20"/>
      <w:szCs w:val="20"/>
    </w:rPr>
  </w:style>
  <w:style w:type="paragraph" w:styleId="CommentSubject">
    <w:name w:val="annotation subject"/>
    <w:basedOn w:val="CommentText"/>
    <w:next w:val="CommentText"/>
    <w:link w:val="CommentSubjectChar"/>
    <w:uiPriority w:val="99"/>
    <w:semiHidden/>
    <w:unhideWhenUsed/>
    <w:rsid w:val="00553DA6"/>
    <w:rPr>
      <w:b/>
      <w:bCs/>
    </w:rPr>
  </w:style>
  <w:style w:type="character" w:customStyle="1" w:styleId="CommentSubjectChar">
    <w:name w:val="Comment Subject Char"/>
    <w:basedOn w:val="CommentTextChar"/>
    <w:link w:val="CommentSubject"/>
    <w:uiPriority w:val="99"/>
    <w:semiHidden/>
    <w:rsid w:val="00553DA6"/>
    <w:rPr>
      <w:b/>
      <w:bCs/>
      <w:sz w:val="20"/>
      <w:szCs w:val="20"/>
    </w:rPr>
  </w:style>
  <w:style w:type="paragraph" w:styleId="Revision">
    <w:name w:val="Revision"/>
    <w:hidden/>
    <w:uiPriority w:val="99"/>
    <w:semiHidden/>
    <w:rsid w:val="00DA4065"/>
    <w:pPr>
      <w:spacing w:after="0" w:line="240" w:lineRule="auto"/>
    </w:pPr>
  </w:style>
  <w:style w:type="table" w:styleId="TableGrid">
    <w:name w:val="Table Grid"/>
    <w:basedOn w:val="TableNormal"/>
    <w:uiPriority w:val="39"/>
    <w:rsid w:val="00E33D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099315">
      <w:bodyDiv w:val="1"/>
      <w:marLeft w:val="0"/>
      <w:marRight w:val="0"/>
      <w:marTop w:val="0"/>
      <w:marBottom w:val="0"/>
      <w:divBdr>
        <w:top w:val="none" w:sz="0" w:space="0" w:color="auto"/>
        <w:left w:val="none" w:sz="0" w:space="0" w:color="auto"/>
        <w:bottom w:val="none" w:sz="0" w:space="0" w:color="auto"/>
        <w:right w:val="none" w:sz="0" w:space="0" w:color="auto"/>
      </w:divBdr>
    </w:div>
    <w:div w:id="1270316370">
      <w:bodyDiv w:val="1"/>
      <w:marLeft w:val="0"/>
      <w:marRight w:val="0"/>
      <w:marTop w:val="0"/>
      <w:marBottom w:val="0"/>
      <w:divBdr>
        <w:top w:val="none" w:sz="0" w:space="0" w:color="auto"/>
        <w:left w:val="none" w:sz="0" w:space="0" w:color="auto"/>
        <w:bottom w:val="none" w:sz="0" w:space="0" w:color="auto"/>
        <w:right w:val="none" w:sz="0" w:space="0" w:color="auto"/>
      </w:divBdr>
    </w:div>
    <w:div w:id="1491100793">
      <w:bodyDiv w:val="1"/>
      <w:marLeft w:val="0"/>
      <w:marRight w:val="0"/>
      <w:marTop w:val="0"/>
      <w:marBottom w:val="0"/>
      <w:divBdr>
        <w:top w:val="none" w:sz="0" w:space="0" w:color="auto"/>
        <w:left w:val="none" w:sz="0" w:space="0" w:color="auto"/>
        <w:bottom w:val="none" w:sz="0" w:space="0" w:color="auto"/>
        <w:right w:val="none" w:sz="0" w:space="0" w:color="auto"/>
      </w:divBdr>
    </w:div>
    <w:div w:id="1861120239">
      <w:bodyDiv w:val="1"/>
      <w:marLeft w:val="0"/>
      <w:marRight w:val="0"/>
      <w:marTop w:val="0"/>
      <w:marBottom w:val="0"/>
      <w:divBdr>
        <w:top w:val="none" w:sz="0" w:space="0" w:color="auto"/>
        <w:left w:val="none" w:sz="0" w:space="0" w:color="auto"/>
        <w:bottom w:val="none" w:sz="0" w:space="0" w:color="auto"/>
        <w:right w:val="none" w:sz="0" w:space="0" w:color="auto"/>
      </w:divBdr>
    </w:div>
    <w:div w:id="1883908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phl.org/aboutAPHL/publications/Documents/VPD-Reference-Guide.pdf" TargetMode="External"/><Relationship Id="rId13" Type="http://schemas.openxmlformats.org/officeDocument/2006/relationships/hyperlink" Target="https://www.aphl.org/programs/infectious_disease/Pages/VPD.aspx" TargetMode="External"/><Relationship Id="rId18" Type="http://schemas.openxmlformats.org/officeDocument/2006/relationships/hyperlink" Target="https://www.cdc.gov/laboratory/specimen-submission/detail.html?CDCTestCode=CDC-10528"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dc.gov/laboratory/specimen-submission/detail.html?CDCTestCode=CDC-10528" TargetMode="External"/><Relationship Id="rId17" Type="http://schemas.openxmlformats.org/officeDocument/2006/relationships/hyperlink" Target="https://www.aphl.org/aboutAPHL/publications/Documents/VPD-Reference-Guide.pdf" TargetMode="External"/><Relationship Id="rId2" Type="http://schemas.openxmlformats.org/officeDocument/2006/relationships/customXml" Target="../customXml/item2.xml"/><Relationship Id="rId16" Type="http://schemas.openxmlformats.org/officeDocument/2006/relationships/hyperlink" Target="https://www.aphl.org/Materials/ID/MeVA%20Assay_CDC%20Infosheet_2024.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dc.gov/laboratory/specimen-submission/detail.html?CDCTestCode=CDC-10240" TargetMode="External"/><Relationship Id="rId5" Type="http://schemas.openxmlformats.org/officeDocument/2006/relationships/styles" Target="styles.xml"/><Relationship Id="rId15" Type="http://schemas.openxmlformats.org/officeDocument/2006/relationships/hyperlink" Target="https://www.aphl.org/programs/infectious_disease/Pages/VPD.aspx" TargetMode="External"/><Relationship Id="rId10" Type="http://schemas.openxmlformats.org/officeDocument/2006/relationships/hyperlink" Target="https://www.aphl.org/aboutAPHL/publications/Documents/VPD-Reference-Guide.pdf"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cdc.gov/laboratory/specimen-submission/detail.html?CDCTestCode=CDC-10240" TargetMode="External"/><Relationship Id="rId14" Type="http://schemas.openxmlformats.org/officeDocument/2006/relationships/hyperlink" Target="https://www.cdc.gov/laboratory/specimen-submission/detail.html?CDCTestCode=CDC-105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63B1BC-FEE7-47E3-ABB2-474C30E47BB8}">
  <ds:schemaRefs>
    <ds:schemaRef ds:uri="http://schemas.microsoft.com/sharepoint/v3/contenttype/forms"/>
  </ds:schemaRefs>
</ds:datastoreItem>
</file>

<file path=customXml/itemProps2.xml><?xml version="1.0" encoding="utf-8"?>
<ds:datastoreItem xmlns:ds="http://schemas.openxmlformats.org/officeDocument/2006/customXml" ds:itemID="{C82E67B5-7D23-4A38-B361-84891B7A08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71FD163-81DA-47FD-AB9A-5A97A90B80CD}">
  <ds:schemaRefs>
    <ds:schemaRef ds:uri="http://schemas.microsoft.com/office/infopath/2007/PartnerControls"/>
    <ds:schemaRef ds:uri="http://schemas.microsoft.com/office/2006/documentManagement/types"/>
    <ds:schemaRef ds:uri="http://purl.org/dc/terms/"/>
    <ds:schemaRef ds:uri="http://www.w3.org/XML/1998/namespace"/>
    <ds:schemaRef ds:uri="http://schemas.microsoft.com/office/2006/metadata/properties"/>
    <ds:schemaRef ds:uri="http://purl.org/dc/elements/1.1/"/>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917</Words>
  <Characters>5380</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6251</CharactersWithSpaces>
  <SharedDoc>false</SharedDoc>
  <HLinks>
    <vt:vector size="72" baseType="variant">
      <vt:variant>
        <vt:i4>524319</vt:i4>
      </vt:variant>
      <vt:variant>
        <vt:i4>33</vt:i4>
      </vt:variant>
      <vt:variant>
        <vt:i4>0</vt:i4>
      </vt:variant>
      <vt:variant>
        <vt:i4>5</vt:i4>
      </vt:variant>
      <vt:variant>
        <vt:lpwstr>https://www.cdc.gov/laboratory/specimen-submission/detail.html?CDCTestCode=CDC-10528</vt:lpwstr>
      </vt:variant>
      <vt:variant>
        <vt:lpwstr/>
      </vt:variant>
      <vt:variant>
        <vt:i4>65546</vt:i4>
      </vt:variant>
      <vt:variant>
        <vt:i4>30</vt:i4>
      </vt:variant>
      <vt:variant>
        <vt:i4>0</vt:i4>
      </vt:variant>
      <vt:variant>
        <vt:i4>5</vt:i4>
      </vt:variant>
      <vt:variant>
        <vt:lpwstr>https://www.aphl.org/aboutAPHL/publications/Documents/VPD-Reference-Guide.pdf</vt:lpwstr>
      </vt:variant>
      <vt:variant>
        <vt:lpwstr/>
      </vt:variant>
      <vt:variant>
        <vt:i4>2818149</vt:i4>
      </vt:variant>
      <vt:variant>
        <vt:i4>27</vt:i4>
      </vt:variant>
      <vt:variant>
        <vt:i4>0</vt:i4>
      </vt:variant>
      <vt:variant>
        <vt:i4>5</vt:i4>
      </vt:variant>
      <vt:variant>
        <vt:lpwstr>https://www.aphl.org/Materials/ID/MeVA Assay_CDC Infosheet_2024.pdf</vt:lpwstr>
      </vt:variant>
      <vt:variant>
        <vt:lpwstr/>
      </vt:variant>
      <vt:variant>
        <vt:i4>6553668</vt:i4>
      </vt:variant>
      <vt:variant>
        <vt:i4>24</vt:i4>
      </vt:variant>
      <vt:variant>
        <vt:i4>0</vt:i4>
      </vt:variant>
      <vt:variant>
        <vt:i4>5</vt:i4>
      </vt:variant>
      <vt:variant>
        <vt:lpwstr>https://www.aphl.org/programs/infectious_disease/Pages/VPD.aspx</vt:lpwstr>
      </vt:variant>
      <vt:variant>
        <vt:lpwstr/>
      </vt:variant>
      <vt:variant>
        <vt:i4>524319</vt:i4>
      </vt:variant>
      <vt:variant>
        <vt:i4>21</vt:i4>
      </vt:variant>
      <vt:variant>
        <vt:i4>0</vt:i4>
      </vt:variant>
      <vt:variant>
        <vt:i4>5</vt:i4>
      </vt:variant>
      <vt:variant>
        <vt:lpwstr>https://www.cdc.gov/laboratory/specimen-submission/detail.html?CDCTestCode=CDC-10528</vt:lpwstr>
      </vt:variant>
      <vt:variant>
        <vt:lpwstr/>
      </vt:variant>
      <vt:variant>
        <vt:i4>6553668</vt:i4>
      </vt:variant>
      <vt:variant>
        <vt:i4>18</vt:i4>
      </vt:variant>
      <vt:variant>
        <vt:i4>0</vt:i4>
      </vt:variant>
      <vt:variant>
        <vt:i4>5</vt:i4>
      </vt:variant>
      <vt:variant>
        <vt:lpwstr>https://www.aphl.org/programs/infectious_disease/Pages/VPD.aspx</vt:lpwstr>
      </vt:variant>
      <vt:variant>
        <vt:lpwstr/>
      </vt:variant>
      <vt:variant>
        <vt:i4>3342371</vt:i4>
      </vt:variant>
      <vt:variant>
        <vt:i4>15</vt:i4>
      </vt:variant>
      <vt:variant>
        <vt:i4>0</vt:i4>
      </vt:variant>
      <vt:variant>
        <vt:i4>5</vt:i4>
      </vt:variant>
      <vt:variant>
        <vt:lpwstr>https://www.cdc.gov/measles/php/laboratories/index.html</vt:lpwstr>
      </vt:variant>
      <vt:variant>
        <vt:lpwstr/>
      </vt:variant>
      <vt:variant>
        <vt:i4>524319</vt:i4>
      </vt:variant>
      <vt:variant>
        <vt:i4>12</vt:i4>
      </vt:variant>
      <vt:variant>
        <vt:i4>0</vt:i4>
      </vt:variant>
      <vt:variant>
        <vt:i4>5</vt:i4>
      </vt:variant>
      <vt:variant>
        <vt:lpwstr>https://www.cdc.gov/laboratory/specimen-submission/detail.html?CDCTestCode=CDC-10528</vt:lpwstr>
      </vt:variant>
      <vt:variant>
        <vt:lpwstr/>
      </vt:variant>
      <vt:variant>
        <vt:i4>458777</vt:i4>
      </vt:variant>
      <vt:variant>
        <vt:i4>9</vt:i4>
      </vt:variant>
      <vt:variant>
        <vt:i4>0</vt:i4>
      </vt:variant>
      <vt:variant>
        <vt:i4>5</vt:i4>
      </vt:variant>
      <vt:variant>
        <vt:lpwstr>https://www.cdc.gov/laboratory/specimen-submission/detail.html?CDCTestCode=CDC-10240</vt:lpwstr>
      </vt:variant>
      <vt:variant>
        <vt:lpwstr/>
      </vt:variant>
      <vt:variant>
        <vt:i4>65546</vt:i4>
      </vt:variant>
      <vt:variant>
        <vt:i4>6</vt:i4>
      </vt:variant>
      <vt:variant>
        <vt:i4>0</vt:i4>
      </vt:variant>
      <vt:variant>
        <vt:i4>5</vt:i4>
      </vt:variant>
      <vt:variant>
        <vt:lpwstr>https://www.aphl.org/aboutAPHL/publications/Documents/VPD-Reference-Guide.pdf</vt:lpwstr>
      </vt:variant>
      <vt:variant>
        <vt:lpwstr/>
      </vt:variant>
      <vt:variant>
        <vt:i4>458777</vt:i4>
      </vt:variant>
      <vt:variant>
        <vt:i4>3</vt:i4>
      </vt:variant>
      <vt:variant>
        <vt:i4>0</vt:i4>
      </vt:variant>
      <vt:variant>
        <vt:i4>5</vt:i4>
      </vt:variant>
      <vt:variant>
        <vt:lpwstr>https://www.cdc.gov/laboratory/specimen-submission/detail.html?CDCTestCode=CDC-10240</vt:lpwstr>
      </vt:variant>
      <vt:variant>
        <vt:lpwstr/>
      </vt:variant>
      <vt:variant>
        <vt:i4>65546</vt:i4>
      </vt:variant>
      <vt:variant>
        <vt:i4>0</vt:i4>
      </vt:variant>
      <vt:variant>
        <vt:i4>0</vt:i4>
      </vt:variant>
      <vt:variant>
        <vt:i4>5</vt:i4>
      </vt:variant>
      <vt:variant>
        <vt:lpwstr>https://www.aphl.org/aboutAPHL/publications/Documents/VPD-Reference-Guide.pdf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Guerra, Jessica Prince (CDC/NCIRD/DVD)</dc:creator>
  <cp:keywords/>
  <dc:description/>
  <cp:lastModifiedBy>Buscemi, Paul | APHL</cp:lastModifiedBy>
  <cp:revision>2</cp:revision>
  <cp:lastPrinted>2025-03-24T20:40:00Z</cp:lastPrinted>
  <dcterms:created xsi:type="dcterms:W3CDTF">2025-04-15T18:12:00Z</dcterms:created>
  <dcterms:modified xsi:type="dcterms:W3CDTF">2025-04-15T18:12:00Z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2025-03-06T17:21:11Z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127fcda4-8eb2-47f5-a695-07da52789913</vt:lpwstr>
  </property>
  <property fmtid="{D5CDD505-2E9C-101B-9397-08002B2CF9AE}" pid="8" name="MSIP_Label_7b94a7b8-f06c-4dfe-bdcc-9b548fd58c31_ContentBits">
    <vt:lpwstr>0</vt:lpwstr>
  </property>
</Properties>
</file>