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375AA1F8" w:rsidR="00BA32A4" w:rsidRPr="00BA32A4" w:rsidRDefault="005909C5" w:rsidP="00627AF0">
      <w:pPr>
        <w:pStyle w:val="Heading1"/>
      </w:pPr>
      <w:r>
        <w:t>Traceability</w:t>
      </w:r>
    </w:p>
    <w:p w14:paraId="6DECCCE9" w14:textId="186D9E5B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4060D171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9F02F5" w:rsidRPr="009F02F5" w14:paraId="76ABEC02" w14:textId="77777777" w:rsidTr="004859B3">
        <w:tc>
          <w:tcPr>
            <w:tcW w:w="625" w:type="dxa"/>
          </w:tcPr>
          <w:p w14:paraId="69D70EE8" w14:textId="35FD908C" w:rsidR="00F840CC" w:rsidRPr="009F02F5" w:rsidRDefault="007A60CC" w:rsidP="00760C68">
            <w:pPr>
              <w:tabs>
                <w:tab w:val="left" w:pos="360"/>
              </w:tabs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9F02F5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9F02F5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52E35748" w:rsidR="00F840CC" w:rsidRPr="009F02F5" w:rsidRDefault="005909C5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ISO/IEC 17025 does not require laboratories to have calibration systems in place.</w:t>
            </w:r>
            <w:r w:rsidR="00F840CC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F02F5" w:rsidRPr="009F02F5" w14:paraId="3D278E7F" w14:textId="77777777" w:rsidTr="004859B3">
        <w:tc>
          <w:tcPr>
            <w:tcW w:w="625" w:type="dxa"/>
          </w:tcPr>
          <w:p w14:paraId="5F6EEA82" w14:textId="3E6ADF5B" w:rsidR="00F840CC" w:rsidRPr="009F02F5" w:rsidRDefault="007A60CC" w:rsidP="00760C68">
            <w:pPr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9F02F5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9F02F5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0B65614F" w:rsidR="00F840CC" w:rsidRPr="009F02F5" w:rsidRDefault="005909C5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ISO Guide 34 specifies requirements for reference material producers</w:t>
            </w:r>
            <w:r w:rsidR="003A661C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  <w:r w:rsidR="00F840CC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F02F5" w:rsidRPr="009F02F5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9F02F5" w:rsidRDefault="007A60CC" w:rsidP="00760C68">
            <w:pPr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9F02F5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9F02F5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25EF692F" w:rsidR="00F840CC" w:rsidRPr="009F02F5" w:rsidRDefault="005909C5" w:rsidP="00760C68">
            <w:pPr>
              <w:widowControl/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Calibration laboratories do not need to establish traceability</w:t>
            </w:r>
            <w:r w:rsidR="003A661C" w:rsidRPr="009F02F5">
              <w:rPr>
                <w:color w:val="000000" w:themeColor="text1"/>
                <w:sz w:val="20"/>
                <w:szCs w:val="20"/>
              </w:rPr>
              <w:t>.</w:t>
            </w:r>
            <w:r w:rsidR="00F840CC" w:rsidRPr="009F02F5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F02F5" w:rsidRPr="009F02F5" w14:paraId="586620BC" w14:textId="77777777" w:rsidTr="004859B3">
        <w:tc>
          <w:tcPr>
            <w:tcW w:w="625" w:type="dxa"/>
          </w:tcPr>
          <w:p w14:paraId="1E09FB07" w14:textId="233A24DA" w:rsidR="003A661C" w:rsidRPr="009F02F5" w:rsidRDefault="003A661C" w:rsidP="003A661C">
            <w:pPr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9F02F5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9F02F5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03652C31" w:rsidR="003A661C" w:rsidRPr="009F02F5" w:rsidRDefault="005909C5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Calibration laboratories must issue certificates that include measurement uncertainty</w:t>
            </w:r>
            <w:r w:rsidR="00247A05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  <w:r w:rsidR="003A661C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F02F5" w:rsidRPr="009F02F5" w14:paraId="4788310C" w14:textId="77777777" w:rsidTr="004859B3">
        <w:tc>
          <w:tcPr>
            <w:tcW w:w="625" w:type="dxa"/>
          </w:tcPr>
          <w:p w14:paraId="34609117" w14:textId="2F1ECB25" w:rsidR="003A661C" w:rsidRPr="009F02F5" w:rsidRDefault="003A661C" w:rsidP="003A661C">
            <w:pPr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9F02F5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9F02F5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45F1DC5B" w:rsidR="003A661C" w:rsidRPr="009F02F5" w:rsidRDefault="005909C5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Traceability does not apply to instruments and equipment</w:t>
            </w:r>
            <w:r w:rsidR="002D40A7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9F02F5" w:rsidRPr="009F02F5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9F02F5" w:rsidRDefault="003A661C" w:rsidP="003A661C">
            <w:pPr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9F02F5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9F02F5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5637A0F" w14:textId="60F2B8FD" w:rsidR="003A661C" w:rsidRPr="009F02F5" w:rsidRDefault="005909C5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Traceability can be referred to as a “calibration hierarchy”.</w:t>
            </w:r>
            <w:r w:rsidR="002D40A7"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  <w:p w14:paraId="10A34E6E" w14:textId="579C61DF" w:rsidR="00940780" w:rsidRPr="009F02F5" w:rsidRDefault="00940780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000000" w:themeColor="text1"/>
                <w:sz w:val="20"/>
                <w:szCs w:val="20"/>
              </w:rPr>
            </w:pPr>
          </w:p>
        </w:tc>
      </w:tr>
      <w:tr w:rsidR="009F02F5" w:rsidRPr="009F02F5" w14:paraId="38DC1DBE" w14:textId="77777777" w:rsidTr="004859B3">
        <w:trPr>
          <w:trHeight w:val="251"/>
        </w:trPr>
        <w:tc>
          <w:tcPr>
            <w:tcW w:w="625" w:type="dxa"/>
          </w:tcPr>
          <w:p w14:paraId="2EC15F51" w14:textId="63D227E1" w:rsidR="00940780" w:rsidRPr="009F02F5" w:rsidRDefault="00940780" w:rsidP="003A661C">
            <w:pPr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50" w:type="dxa"/>
          </w:tcPr>
          <w:p w14:paraId="4B728090" w14:textId="1050CC04" w:rsidR="00940780" w:rsidRPr="009F02F5" w:rsidRDefault="00940780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2BB01DD" w14:textId="06AF70CD" w:rsidR="00940780" w:rsidRPr="009F02F5" w:rsidRDefault="00940780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5B431DD3" w14:textId="5AAFADF5" w:rsidR="00940780" w:rsidRPr="009F02F5" w:rsidRDefault="00940780" w:rsidP="00940780">
            <w:pPr>
              <w:pStyle w:val="ListParagraph"/>
              <w:ind w:left="-12" w:firstLine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Calibration is the comparison of two measurement devices or systems, one of known uncertainty (reference standard) and one of unknown uncertainty (test equipment).  </w:t>
            </w:r>
            <w:r w:rsidRPr="009F02F5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ab/>
            </w:r>
          </w:p>
        </w:tc>
      </w:tr>
    </w:tbl>
    <w:p w14:paraId="590CE564" w14:textId="77777777" w:rsidR="00F840CC" w:rsidRPr="009F02F5" w:rsidRDefault="00F840CC" w:rsidP="00F840CC">
      <w:pPr>
        <w:pStyle w:val="ListParagraph"/>
        <w:ind w:left="0"/>
        <w:rPr>
          <w:rFonts w:ascii="Franklin Gothic Book" w:hAnsi="Franklin Gothic Book"/>
          <w:color w:val="000000" w:themeColor="text1"/>
          <w:sz w:val="24"/>
        </w:rPr>
      </w:pPr>
    </w:p>
    <w:p w14:paraId="2CFA29F5" w14:textId="20B166FF" w:rsidR="00F840CC" w:rsidRPr="009F02F5" w:rsidRDefault="00753531" w:rsidP="00753531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9F02F5">
        <w:rPr>
          <w:rFonts w:ascii="Franklin Gothic Book" w:hAnsi="Franklin Gothic Book"/>
          <w:color w:val="000000" w:themeColor="text1"/>
          <w:sz w:val="20"/>
          <w:szCs w:val="20"/>
        </w:rPr>
        <w:t>Reference Standards include</w:t>
      </w:r>
      <w:r w:rsidR="00D85408" w:rsidRPr="009F02F5">
        <w:rPr>
          <w:rFonts w:ascii="Franklin Gothic Book" w:hAnsi="Franklin Gothic Book"/>
          <w:color w:val="000000" w:themeColor="text1"/>
          <w:sz w:val="20"/>
          <w:szCs w:val="20"/>
        </w:rPr>
        <w:t>:</w:t>
      </w:r>
      <w:r w:rsidR="0057602B" w:rsidRPr="009F02F5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419EF" w:rsidRPr="009F02F5" w14:paraId="2EDC0D2C" w14:textId="77777777" w:rsidTr="004859B3">
        <w:tc>
          <w:tcPr>
            <w:tcW w:w="2517" w:type="dxa"/>
          </w:tcPr>
          <w:p w14:paraId="14D8536F" w14:textId="2725F7FE" w:rsidR="00A419EF" w:rsidRPr="009F02F5" w:rsidRDefault="00742F95" w:rsidP="007A60CC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A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Hard and non-consumable items</w:t>
            </w:r>
          </w:p>
        </w:tc>
        <w:tc>
          <w:tcPr>
            <w:tcW w:w="2517" w:type="dxa"/>
          </w:tcPr>
          <w:p w14:paraId="4A058C29" w14:textId="49C545CF" w:rsidR="00A419EF" w:rsidRPr="009F02F5" w:rsidRDefault="00742F95" w:rsidP="007A60CC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B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Liquid standards</w:t>
            </w:r>
          </w:p>
        </w:tc>
        <w:tc>
          <w:tcPr>
            <w:tcW w:w="2518" w:type="dxa"/>
          </w:tcPr>
          <w:p w14:paraId="51DEDBA2" w14:textId="7467FC63" w:rsidR="00A419EF" w:rsidRPr="009F02F5" w:rsidRDefault="00742F95" w:rsidP="007A60CC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C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Consumables</w:t>
            </w:r>
          </w:p>
        </w:tc>
        <w:tc>
          <w:tcPr>
            <w:tcW w:w="2518" w:type="dxa"/>
          </w:tcPr>
          <w:p w14:paraId="6D9CAE6A" w14:textId="717F7641" w:rsidR="00A419EF" w:rsidRPr="009F02F5" w:rsidRDefault="00742F95" w:rsidP="00742F95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 xml:space="preserve">D.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Proficiency testing materials</w:t>
            </w:r>
          </w:p>
        </w:tc>
      </w:tr>
    </w:tbl>
    <w:p w14:paraId="316F246D" w14:textId="5BA051A8" w:rsidR="00F840CC" w:rsidRPr="009F02F5" w:rsidRDefault="00F840CC" w:rsidP="00A419EF">
      <w:pPr>
        <w:rPr>
          <w:color w:val="000000" w:themeColor="text1"/>
          <w:sz w:val="20"/>
          <w:szCs w:val="20"/>
        </w:rPr>
      </w:pPr>
    </w:p>
    <w:p w14:paraId="0FD524CB" w14:textId="50C91A0E" w:rsidR="00F840CC" w:rsidRPr="009F02F5" w:rsidRDefault="00753531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9F02F5">
        <w:rPr>
          <w:rFonts w:ascii="Franklin Gothic Book" w:hAnsi="Franklin Gothic Book"/>
          <w:color w:val="000000" w:themeColor="text1"/>
          <w:sz w:val="20"/>
          <w:szCs w:val="20"/>
        </w:rPr>
        <w:t>Reference Materials include:</w:t>
      </w:r>
      <w:r w:rsidR="0057602B" w:rsidRPr="009F02F5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9F02F5" w:rsidRPr="009F02F5" w14:paraId="6A0A7DB9" w14:textId="77777777" w:rsidTr="001F4F67">
        <w:tc>
          <w:tcPr>
            <w:tcW w:w="2610" w:type="dxa"/>
          </w:tcPr>
          <w:p w14:paraId="6AA7C5AF" w14:textId="3FAF3856" w:rsidR="00A419EF" w:rsidRPr="009F02F5" w:rsidRDefault="00742F95" w:rsidP="007A60C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A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Hard and non-consumable items</w:t>
            </w:r>
          </w:p>
        </w:tc>
        <w:tc>
          <w:tcPr>
            <w:tcW w:w="2430" w:type="dxa"/>
          </w:tcPr>
          <w:p w14:paraId="4157C66E" w14:textId="0DA788F6" w:rsidR="00A419EF" w:rsidRPr="009F02F5" w:rsidRDefault="00742F95" w:rsidP="00A419EF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B</w:t>
            </w:r>
            <w:r w:rsidR="00A419EF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Liquid standards</w:t>
            </w:r>
          </w:p>
        </w:tc>
        <w:tc>
          <w:tcPr>
            <w:tcW w:w="2610" w:type="dxa"/>
          </w:tcPr>
          <w:p w14:paraId="5F644D77" w14:textId="0475B741" w:rsidR="00A419EF" w:rsidRPr="009F02F5" w:rsidRDefault="00742F95" w:rsidP="00A419EF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C</w:t>
            </w:r>
            <w:r w:rsidR="00A419EF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Consumable</w:t>
            </w:r>
          </w:p>
        </w:tc>
        <w:tc>
          <w:tcPr>
            <w:tcW w:w="2155" w:type="dxa"/>
          </w:tcPr>
          <w:p w14:paraId="25FCB077" w14:textId="4E61EC94" w:rsidR="00A419EF" w:rsidRPr="009F02F5" w:rsidRDefault="00742F95" w:rsidP="00A419EF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D</w:t>
            </w:r>
            <w:r w:rsidR="00A419EF" w:rsidRPr="009F02F5">
              <w:rPr>
                <w:color w:val="000000" w:themeColor="text1"/>
                <w:sz w:val="20"/>
                <w:szCs w:val="20"/>
              </w:rPr>
              <w:t>.</w:t>
            </w:r>
            <w:r w:rsidR="00A419EF" w:rsidRPr="009F02F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B24D7" w:rsidRPr="009F02F5">
              <w:rPr>
                <w:color w:val="000000" w:themeColor="text1"/>
                <w:sz w:val="20"/>
                <w:szCs w:val="20"/>
              </w:rPr>
              <w:t>A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 xml:space="preserve"> &amp;</w:t>
            </w:r>
            <w:r w:rsidR="00FB24D7" w:rsidRPr="009F02F5">
              <w:rPr>
                <w:color w:val="000000" w:themeColor="text1"/>
                <w:sz w:val="20"/>
                <w:szCs w:val="20"/>
              </w:rPr>
              <w:t xml:space="preserve"> B</w:t>
            </w:r>
          </w:p>
        </w:tc>
      </w:tr>
    </w:tbl>
    <w:p w14:paraId="51D4206D" w14:textId="77777777" w:rsidR="00A419EF" w:rsidRPr="009F02F5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color w:val="000000" w:themeColor="text1"/>
          <w:sz w:val="20"/>
          <w:szCs w:val="20"/>
        </w:rPr>
      </w:pPr>
    </w:p>
    <w:p w14:paraId="3E10BEF5" w14:textId="4DF9679F" w:rsidR="00F840CC" w:rsidRPr="009F02F5" w:rsidRDefault="00753531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color w:val="000000" w:themeColor="text1"/>
          <w:sz w:val="20"/>
          <w:szCs w:val="20"/>
        </w:rPr>
      </w:pPr>
      <w:r w:rsidRPr="009F02F5">
        <w:rPr>
          <w:rFonts w:ascii="Franklin Gothic Book" w:hAnsi="Franklin Gothic Book"/>
          <w:color w:val="000000" w:themeColor="text1"/>
          <w:sz w:val="20"/>
          <w:szCs w:val="20"/>
        </w:rPr>
        <w:t>Reference Standards should be</w:t>
      </w:r>
      <w:r w:rsidR="00540C1E" w:rsidRPr="009F02F5">
        <w:rPr>
          <w:rFonts w:ascii="Franklin Gothic Book" w:hAnsi="Franklin Gothic Book"/>
          <w:color w:val="000000" w:themeColor="text1"/>
          <w:sz w:val="20"/>
          <w:szCs w:val="20"/>
        </w:rPr>
        <w:t>:</w:t>
      </w:r>
      <w:r w:rsidR="002E551D" w:rsidRPr="009F02F5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9F02F5" w:rsidRPr="009F02F5" w14:paraId="2D6647C3" w14:textId="77777777" w:rsidTr="00753531">
        <w:tc>
          <w:tcPr>
            <w:tcW w:w="2517" w:type="dxa"/>
          </w:tcPr>
          <w:p w14:paraId="3EEE3A67" w14:textId="28B6D667" w:rsidR="007A60CC" w:rsidRPr="009F02F5" w:rsidRDefault="00742F95" w:rsidP="003B472A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A</w:t>
            </w:r>
            <w:r w:rsidR="00254AF2" w:rsidRPr="009F02F5">
              <w:rPr>
                <w:color w:val="000000" w:themeColor="text1"/>
                <w:sz w:val="20"/>
                <w:szCs w:val="20"/>
              </w:rPr>
              <w:t>.</w:t>
            </w:r>
            <w:r w:rsidR="002E551D" w:rsidRPr="009F02F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 xml:space="preserve">Traced to SI units </w:t>
            </w:r>
          </w:p>
        </w:tc>
        <w:tc>
          <w:tcPr>
            <w:tcW w:w="2613" w:type="dxa"/>
          </w:tcPr>
          <w:p w14:paraId="54436299" w14:textId="61BFE0A8" w:rsidR="007A60CC" w:rsidRPr="009F02F5" w:rsidRDefault="00742F95" w:rsidP="0011334D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B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Provided by a competent supplier</w:t>
            </w:r>
          </w:p>
        </w:tc>
        <w:tc>
          <w:tcPr>
            <w:tcW w:w="2520" w:type="dxa"/>
          </w:tcPr>
          <w:p w14:paraId="382A77FA" w14:textId="7E78C03F" w:rsidR="007A60CC" w:rsidRPr="009F02F5" w:rsidRDefault="00742F95" w:rsidP="0011334D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C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Calibrated by an ISO/IEC 17025 accredited body that can provide traceability</w:t>
            </w:r>
          </w:p>
        </w:tc>
        <w:tc>
          <w:tcPr>
            <w:tcW w:w="2155" w:type="dxa"/>
          </w:tcPr>
          <w:p w14:paraId="7026745C" w14:textId="4C945DB9" w:rsidR="007A60CC" w:rsidRPr="009F02F5" w:rsidRDefault="00742F95" w:rsidP="00C06C56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D</w:t>
            </w:r>
            <w:r w:rsidR="007A60CC" w:rsidRPr="009F02F5">
              <w:rPr>
                <w:color w:val="000000" w:themeColor="text1"/>
                <w:sz w:val="20"/>
                <w:szCs w:val="20"/>
              </w:rPr>
              <w:t>.</w:t>
            </w:r>
            <w:r w:rsidR="007A60CC" w:rsidRPr="009F02F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551D" w:rsidRPr="009F02F5">
              <w:rPr>
                <w:color w:val="000000" w:themeColor="text1"/>
                <w:sz w:val="20"/>
                <w:szCs w:val="20"/>
              </w:rPr>
              <w:t>A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 xml:space="preserve"> &amp; B</w:t>
            </w:r>
          </w:p>
          <w:p w14:paraId="504976FA" w14:textId="69E0CD07" w:rsidR="00FB24D7" w:rsidRPr="009F02F5" w:rsidRDefault="00FB24D7" w:rsidP="00C06C56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EFAB7C6" w14:textId="7409251C" w:rsidR="00F840CC" w:rsidRPr="009F02F5" w:rsidRDefault="00753531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9F02F5">
        <w:rPr>
          <w:rFonts w:ascii="Franklin Gothic Book" w:hAnsi="Franklin Gothic Book"/>
          <w:color w:val="000000" w:themeColor="text1"/>
          <w:sz w:val="20"/>
          <w:szCs w:val="20"/>
        </w:rPr>
        <w:t>Reference Materials should be</w:t>
      </w:r>
      <w:r w:rsidR="000A12CB" w:rsidRPr="009F02F5">
        <w:rPr>
          <w:rFonts w:ascii="Franklin Gothic Book" w:hAnsi="Franklin Gothic Book"/>
          <w:color w:val="000000" w:themeColor="text1"/>
          <w:sz w:val="20"/>
          <w:szCs w:val="20"/>
        </w:rPr>
        <w:t>:</w:t>
      </w:r>
      <w:r w:rsidR="00410339" w:rsidRPr="009F02F5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18"/>
        <w:gridCol w:w="2518"/>
      </w:tblGrid>
      <w:tr w:rsidR="009F02F5" w:rsidRPr="009F02F5" w14:paraId="349F919D" w14:textId="77777777" w:rsidTr="00753531">
        <w:tc>
          <w:tcPr>
            <w:tcW w:w="2610" w:type="dxa"/>
          </w:tcPr>
          <w:p w14:paraId="2FAD0355" w14:textId="5F373054" w:rsidR="0002543E" w:rsidRPr="009F02F5" w:rsidRDefault="00742F95" w:rsidP="0002543E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A</w:t>
            </w:r>
            <w:r w:rsidR="0002543E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Traced to SI units</w:t>
            </w:r>
          </w:p>
        </w:tc>
        <w:tc>
          <w:tcPr>
            <w:tcW w:w="2520" w:type="dxa"/>
          </w:tcPr>
          <w:p w14:paraId="1B65AE3F" w14:textId="1902D464" w:rsidR="0002543E" w:rsidRPr="009F02F5" w:rsidRDefault="00742F95" w:rsidP="001F4F67">
            <w:pPr>
              <w:widowControl/>
              <w:spacing w:after="120"/>
              <w:ind w:left="-108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B</w:t>
            </w:r>
            <w:r w:rsidR="0002543E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Provided by a competent supplier</w:t>
            </w:r>
          </w:p>
        </w:tc>
        <w:tc>
          <w:tcPr>
            <w:tcW w:w="2518" w:type="dxa"/>
          </w:tcPr>
          <w:p w14:paraId="26DA5C9D" w14:textId="14BA9BB0" w:rsidR="0002543E" w:rsidRPr="009F02F5" w:rsidRDefault="00742F95" w:rsidP="0002543E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C</w:t>
            </w:r>
            <w:r w:rsidR="0002543E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53531" w:rsidRPr="009F02F5">
              <w:rPr>
                <w:color w:val="000000" w:themeColor="text1"/>
                <w:sz w:val="20"/>
                <w:szCs w:val="20"/>
              </w:rPr>
              <w:t>Calibrated by an ISO/IEC 17025 accredited body that can provide traceability</w:t>
            </w:r>
          </w:p>
        </w:tc>
        <w:tc>
          <w:tcPr>
            <w:tcW w:w="2518" w:type="dxa"/>
          </w:tcPr>
          <w:p w14:paraId="221FAF94" w14:textId="10704C9E" w:rsidR="0002543E" w:rsidRPr="009F02F5" w:rsidRDefault="00742F95" w:rsidP="0002543E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9F02F5">
              <w:rPr>
                <w:color w:val="000000" w:themeColor="text1"/>
                <w:sz w:val="20"/>
                <w:szCs w:val="20"/>
              </w:rPr>
              <w:t>D</w:t>
            </w:r>
            <w:r w:rsidR="0002543E" w:rsidRPr="009F02F5">
              <w:rPr>
                <w:color w:val="000000" w:themeColor="text1"/>
                <w:sz w:val="20"/>
                <w:szCs w:val="20"/>
              </w:rPr>
              <w:t xml:space="preserve">. </w:t>
            </w:r>
            <w:bookmarkStart w:id="0" w:name="_GoBack"/>
            <w:r w:rsidR="00D94BDD" w:rsidRPr="00765879">
              <w:rPr>
                <w:color w:val="000000" w:themeColor="text1"/>
                <w:sz w:val="20"/>
                <w:szCs w:val="20"/>
              </w:rPr>
              <w:t>A, B &amp; C</w:t>
            </w:r>
            <w:bookmarkEnd w:id="0"/>
          </w:p>
        </w:tc>
      </w:tr>
    </w:tbl>
    <w:p w14:paraId="20F51FBF" w14:textId="1DE1A806" w:rsidR="00F840CC" w:rsidRPr="009F02F5" w:rsidRDefault="00753531" w:rsidP="00F840CC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9F02F5">
        <w:rPr>
          <w:rFonts w:ascii="Franklin Gothic Book" w:hAnsi="Franklin Gothic Book"/>
          <w:color w:val="000000" w:themeColor="text1"/>
          <w:sz w:val="20"/>
          <w:szCs w:val="20"/>
        </w:rPr>
        <w:t>Intermediate checks need defined procedures and schedules for carrying out checks to maintain confidence in the calibration status of</w:t>
      </w:r>
      <w:r w:rsidR="00540C1E" w:rsidRPr="009F02F5">
        <w:rPr>
          <w:rFonts w:ascii="Franklin Gothic Book" w:hAnsi="Franklin Gothic Book"/>
          <w:color w:val="000000" w:themeColor="text1"/>
          <w:sz w:val="20"/>
          <w:szCs w:val="20"/>
        </w:rPr>
        <w:t>:</w:t>
      </w:r>
      <w:r w:rsidR="00F840CC" w:rsidRPr="009F02F5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250"/>
        <w:gridCol w:w="3055"/>
      </w:tblGrid>
      <w:tr w:rsidR="0002543E" w:rsidRPr="0002543E" w14:paraId="6632536E" w14:textId="77777777" w:rsidTr="001F4F67">
        <w:tc>
          <w:tcPr>
            <w:tcW w:w="2610" w:type="dxa"/>
          </w:tcPr>
          <w:p w14:paraId="18ADD50F" w14:textId="00B3E545" w:rsidR="0002543E" w:rsidRPr="0002543E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FB24D7">
              <w:rPr>
                <w:color w:val="auto"/>
                <w:sz w:val="20"/>
                <w:szCs w:val="20"/>
              </w:rPr>
              <w:t>A</w:t>
            </w:r>
            <w:r w:rsidR="0002543E" w:rsidRPr="00FB24D7">
              <w:rPr>
                <w:color w:val="auto"/>
                <w:sz w:val="20"/>
                <w:szCs w:val="20"/>
              </w:rPr>
              <w:t xml:space="preserve">. </w:t>
            </w:r>
            <w:r w:rsidR="00753531">
              <w:rPr>
                <w:color w:val="auto"/>
                <w:sz w:val="20"/>
                <w:szCs w:val="20"/>
              </w:rPr>
              <w:t>Reference Standards and Materials</w:t>
            </w:r>
          </w:p>
        </w:tc>
        <w:tc>
          <w:tcPr>
            <w:tcW w:w="2520" w:type="dxa"/>
          </w:tcPr>
          <w:p w14:paraId="5FD36442" w14:textId="3C0DA52F" w:rsidR="0002543E" w:rsidRPr="00753531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53531">
              <w:rPr>
                <w:color w:val="auto"/>
                <w:sz w:val="20"/>
                <w:szCs w:val="20"/>
              </w:rPr>
              <w:t>B</w:t>
            </w:r>
            <w:r w:rsidR="0002543E" w:rsidRPr="00753531">
              <w:rPr>
                <w:color w:val="auto"/>
                <w:sz w:val="20"/>
                <w:szCs w:val="20"/>
              </w:rPr>
              <w:t xml:space="preserve">. </w:t>
            </w:r>
            <w:r w:rsidR="00753531">
              <w:rPr>
                <w:color w:val="auto"/>
                <w:sz w:val="20"/>
                <w:szCs w:val="20"/>
              </w:rPr>
              <w:t>Primary and Working Standards</w:t>
            </w:r>
          </w:p>
        </w:tc>
        <w:tc>
          <w:tcPr>
            <w:tcW w:w="2250" w:type="dxa"/>
          </w:tcPr>
          <w:p w14:paraId="4BBA2093" w14:textId="3811DAF2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753531">
              <w:rPr>
                <w:sz w:val="20"/>
                <w:szCs w:val="20"/>
              </w:rPr>
              <w:t>Transfer Standards</w:t>
            </w:r>
            <w:r w:rsidR="00FB24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55" w:type="dxa"/>
          </w:tcPr>
          <w:p w14:paraId="3E80971F" w14:textId="654B91EE" w:rsidR="0002543E" w:rsidRPr="003526EC" w:rsidRDefault="00742F95" w:rsidP="00C06C56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3526EC">
              <w:rPr>
                <w:color w:val="000000" w:themeColor="text1"/>
                <w:sz w:val="20"/>
                <w:szCs w:val="20"/>
              </w:rPr>
              <w:t>D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.</w:t>
            </w:r>
            <w:r w:rsidR="0002543E" w:rsidRPr="003526E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All of the choices</w:t>
            </w: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576AF" w14:textId="77777777" w:rsidR="00CC5342" w:rsidRDefault="00CC5342" w:rsidP="00380774">
      <w:r>
        <w:separator/>
      </w:r>
    </w:p>
  </w:endnote>
  <w:endnote w:type="continuationSeparator" w:id="0">
    <w:p w14:paraId="56BD54C8" w14:textId="77777777" w:rsidR="00CC5342" w:rsidRDefault="00CC5342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7004C" w14:textId="77777777" w:rsidR="00CC5342" w:rsidRDefault="00CC5342" w:rsidP="00380774">
      <w:r>
        <w:separator/>
      </w:r>
    </w:p>
  </w:footnote>
  <w:footnote w:type="continuationSeparator" w:id="0">
    <w:p w14:paraId="127C8226" w14:textId="77777777" w:rsidR="00CC5342" w:rsidRDefault="00CC5342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2A822C8A"/>
    <w:lvl w:ilvl="0" w:tplc="6E82D79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3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E56B8"/>
    <w:rsid w:val="00733692"/>
    <w:rsid w:val="00740143"/>
    <w:rsid w:val="00742F95"/>
    <w:rsid w:val="00753531"/>
    <w:rsid w:val="00760C68"/>
    <w:rsid w:val="00765879"/>
    <w:rsid w:val="007A60CC"/>
    <w:rsid w:val="007F1637"/>
    <w:rsid w:val="007F52FF"/>
    <w:rsid w:val="00812C65"/>
    <w:rsid w:val="00825CC4"/>
    <w:rsid w:val="0087734D"/>
    <w:rsid w:val="00890190"/>
    <w:rsid w:val="00925629"/>
    <w:rsid w:val="00940780"/>
    <w:rsid w:val="00943B9A"/>
    <w:rsid w:val="00952635"/>
    <w:rsid w:val="00961282"/>
    <w:rsid w:val="00994AA6"/>
    <w:rsid w:val="009A6B8B"/>
    <w:rsid w:val="009A7ACE"/>
    <w:rsid w:val="009C5722"/>
    <w:rsid w:val="009F02F5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C534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583C"/>
    <w:rsid w:val="00E21A2A"/>
    <w:rsid w:val="00E56FA8"/>
    <w:rsid w:val="00E6443C"/>
    <w:rsid w:val="00F262EC"/>
    <w:rsid w:val="00F57E3F"/>
    <w:rsid w:val="00F67F54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9C88D4-0ED0-4386-A393-FF9E85D291DE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975C15FE-2E6D-4253-B62B-235D878B4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Johnson, Catherine | APHL</cp:lastModifiedBy>
  <cp:revision>3</cp:revision>
  <cp:lastPrinted>2016-11-30T15:45:00Z</cp:lastPrinted>
  <dcterms:created xsi:type="dcterms:W3CDTF">2017-03-29T00:08:00Z</dcterms:created>
  <dcterms:modified xsi:type="dcterms:W3CDTF">2017-06-02T19:19:00Z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e5af6556-b6e5-4b0a-a218-428a4ebf09a9</vt:lpwstr>
  </property>
</Properties>
</file>