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12A5C" w14:textId="285E584F" w:rsidR="00295CE2" w:rsidRPr="00295CE2" w:rsidRDefault="00295CE2" w:rsidP="003A11E6">
      <w:pPr>
        <w:rPr>
          <w:rFonts w:ascii="Arial" w:hAnsi="Arial" w:cs="Arial"/>
          <w:b/>
          <w:sz w:val="24"/>
          <w:szCs w:val="24"/>
        </w:rPr>
      </w:pPr>
      <w:bookmarkStart w:id="0" w:name="_GoBack"/>
      <w:bookmarkEnd w:id="0"/>
      <w:r>
        <w:t xml:space="preserve">              </w:t>
      </w:r>
      <w:r w:rsidRPr="00295CE2">
        <w:rPr>
          <w:rFonts w:ascii="Arial" w:hAnsi="Arial" w:cs="Arial"/>
          <w:b/>
          <w:sz w:val="24"/>
          <w:szCs w:val="24"/>
        </w:rPr>
        <w:t>Human and Animal Food Laboratory Professionals Curriculum Framework</w:t>
      </w:r>
    </w:p>
    <w:p w14:paraId="68035F21" w14:textId="392A6CFA" w:rsidR="00295CE2" w:rsidRPr="002F4B7E" w:rsidRDefault="00E717EB">
      <w:r>
        <w:t xml:space="preserve">A team of </w:t>
      </w:r>
      <w:r w:rsidR="00CC0EA9">
        <w:t>Subject Matter Experts (SMEs) are building a competency-based curriculum framework for human and animal food laboratory profe</w:t>
      </w:r>
      <w:r w:rsidR="00CC0EA9" w:rsidRPr="002F4B7E">
        <w:t>ssionals</w:t>
      </w:r>
      <w:r w:rsidR="005D1827" w:rsidRPr="002F4B7E">
        <w:t xml:space="preserve">. The goal of the framework is a competent laboratory workforce </w:t>
      </w:r>
      <w:r w:rsidR="002F4B7E" w:rsidRPr="002F4B7E">
        <w:t xml:space="preserve">doing comparable work </w:t>
      </w:r>
      <w:r w:rsidR="005D1827" w:rsidRPr="002F4B7E">
        <w:t xml:space="preserve">as part of the Integrated Food Safety System. </w:t>
      </w:r>
    </w:p>
    <w:p w14:paraId="20F4E581" w14:textId="262A7F0E" w:rsidR="00295CE2" w:rsidRPr="002F4B7E" w:rsidRDefault="00A62775" w:rsidP="00295CE2">
      <w:pPr>
        <w:jc w:val="center"/>
      </w:pPr>
      <w:r w:rsidRPr="002F4B7E">
        <w:rPr>
          <w:noProof/>
        </w:rPr>
        <w:drawing>
          <wp:inline distT="0" distB="0" distL="0" distR="0" wp14:anchorId="039D9F2E" wp14:editId="05376A84">
            <wp:extent cx="4858378" cy="3161579"/>
            <wp:effectExtent l="0" t="0" r="0" b="127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b Framework Jan 2019 No Headers.JPG"/>
                    <pic:cNvPicPr/>
                  </pic:nvPicPr>
                  <pic:blipFill>
                    <a:blip r:embed="rId7">
                      <a:extLst>
                        <a:ext uri="{28A0092B-C50C-407E-A947-70E740481C1C}">
                          <a14:useLocalDpi xmlns:a14="http://schemas.microsoft.com/office/drawing/2010/main" val="0"/>
                        </a:ext>
                      </a:extLst>
                    </a:blip>
                    <a:stretch>
                      <a:fillRect/>
                    </a:stretch>
                  </pic:blipFill>
                  <pic:spPr>
                    <a:xfrm>
                      <a:off x="0" y="0"/>
                      <a:ext cx="4937244" cy="3212901"/>
                    </a:xfrm>
                    <a:prstGeom prst="rect">
                      <a:avLst/>
                    </a:prstGeom>
                  </pic:spPr>
                </pic:pic>
              </a:graphicData>
            </a:graphic>
          </wp:inline>
        </w:drawing>
      </w:r>
    </w:p>
    <w:p w14:paraId="4AFC0471" w14:textId="77777777" w:rsidR="00E717EB" w:rsidRPr="002F4B7E" w:rsidRDefault="00304A4F" w:rsidP="00CC0EA9">
      <w:r w:rsidRPr="002F4B7E">
        <w:t xml:space="preserve">The curriculum framework is a career-spanning, visual schematic of the human and animal food laboratory profession. </w:t>
      </w:r>
    </w:p>
    <w:p w14:paraId="4758F22F" w14:textId="33C0A827" w:rsidR="00CC0EA9" w:rsidRPr="002F4B7E" w:rsidRDefault="00304A4F" w:rsidP="00CC0EA9">
      <w:r w:rsidRPr="002F4B7E">
        <w:t xml:space="preserve">The framework spans five professional levels (Entry, Mid, Expert, Supervisor/Manager, and Senior Administration), and depicts the </w:t>
      </w:r>
      <w:r w:rsidRPr="002F4B7E">
        <w:rPr>
          <w:i/>
        </w:rPr>
        <w:t>content areas</w:t>
      </w:r>
      <w:r w:rsidRPr="002F4B7E">
        <w:t xml:space="preserve"> in which laboratory professionals must </w:t>
      </w:r>
      <w:r w:rsidR="00E717EB" w:rsidRPr="002F4B7E">
        <w:t xml:space="preserve">possess </w:t>
      </w:r>
      <w:r w:rsidRPr="002F4B7E">
        <w:rPr>
          <w:i/>
        </w:rPr>
        <w:t>competen</w:t>
      </w:r>
      <w:r w:rsidR="00E717EB" w:rsidRPr="002F4B7E">
        <w:rPr>
          <w:i/>
        </w:rPr>
        <w:t xml:space="preserve">cies (i.e., knowledge, skills, abilities, behaviors, and attributes) </w:t>
      </w:r>
      <w:r w:rsidRPr="002F4B7E">
        <w:t>in order to successfully perform their job functions.</w:t>
      </w:r>
      <w:r w:rsidR="002954AE" w:rsidRPr="002F4B7E">
        <w:t xml:space="preserve"> Content areas are either </w:t>
      </w:r>
      <w:r w:rsidR="002954AE" w:rsidRPr="002F4B7E">
        <w:rPr>
          <w:i/>
        </w:rPr>
        <w:t>core</w:t>
      </w:r>
      <w:r w:rsidR="002954AE" w:rsidRPr="002F4B7E">
        <w:t xml:space="preserve"> (applying to all laboratory professionals) or </w:t>
      </w:r>
      <w:r w:rsidR="002954AE" w:rsidRPr="002F4B7E">
        <w:rPr>
          <w:i/>
        </w:rPr>
        <w:t>program-specific</w:t>
      </w:r>
      <w:r w:rsidR="002954AE" w:rsidRPr="002F4B7E">
        <w:t xml:space="preserve"> (applying to laboratory professionals specializing in either Chemistry, Microbiology, or both). </w:t>
      </w:r>
    </w:p>
    <w:p w14:paraId="66E64D36" w14:textId="1162EF17" w:rsidR="00E717EB" w:rsidRPr="002F4B7E" w:rsidRDefault="00E717EB" w:rsidP="00E717EB">
      <w:r w:rsidRPr="002F4B7E">
        <w:t>The curriculum framework is being used</w:t>
      </w:r>
      <w:r w:rsidR="005D1827" w:rsidRPr="002F4B7E">
        <w:t xml:space="preserve"> for</w:t>
      </w:r>
      <w:r w:rsidRPr="002F4B7E">
        <w:t xml:space="preserve">: 1) </w:t>
      </w:r>
      <w:r w:rsidR="005D1827" w:rsidRPr="002F4B7E">
        <w:t xml:space="preserve">training development </w:t>
      </w:r>
      <w:r w:rsidRPr="002F4B7E">
        <w:t xml:space="preserve">(courses and other learning events), 2) </w:t>
      </w:r>
      <w:r w:rsidR="005D1827" w:rsidRPr="002F4B7E">
        <w:t xml:space="preserve">cataloging </w:t>
      </w:r>
      <w:r w:rsidRPr="002F4B7E">
        <w:t>existing training</w:t>
      </w:r>
      <w:r w:rsidR="005D1827" w:rsidRPr="002F4B7E">
        <w:t>, and 3) competency assessment</w:t>
      </w:r>
      <w:r w:rsidRPr="002F4B7E">
        <w:t xml:space="preserve">. </w:t>
      </w:r>
    </w:p>
    <w:p w14:paraId="75D02564" w14:textId="77594BF0" w:rsidR="002954AE" w:rsidRPr="002F4B7E" w:rsidRDefault="00E717EB" w:rsidP="00CC0EA9">
      <w:r w:rsidRPr="002F4B7E">
        <w:t xml:space="preserve">Framework development workshops are held approximately twice a year at the APHL headquarters in Silver Spring, MD. </w:t>
      </w:r>
      <w:r w:rsidR="002954AE" w:rsidRPr="002F4B7E">
        <w:t xml:space="preserve">The SMEs participating in these workshops represent a range of stakeholders including but not limited to </w:t>
      </w:r>
      <w:r w:rsidRPr="002F4B7E">
        <w:t>APHL, AFDO, AAFCO, FDA</w:t>
      </w:r>
      <w:r w:rsidR="005D1827" w:rsidRPr="002F4B7E">
        <w:t>, and state laboratories</w:t>
      </w:r>
      <w:r w:rsidR="002954AE" w:rsidRPr="002F4B7E">
        <w:t>.</w:t>
      </w:r>
    </w:p>
    <w:p w14:paraId="5B51942D" w14:textId="77777777" w:rsidR="005D1827" w:rsidRPr="002F4B7E" w:rsidRDefault="002954AE" w:rsidP="00CC0EA9">
      <w:r w:rsidRPr="002F4B7E">
        <w:t xml:space="preserve">The </w:t>
      </w:r>
      <w:r w:rsidR="002B7C43" w:rsidRPr="002F4B7E">
        <w:t>c</w:t>
      </w:r>
      <w:r w:rsidRPr="002F4B7E">
        <w:t xml:space="preserve">urriculum </w:t>
      </w:r>
      <w:r w:rsidR="002B7C43" w:rsidRPr="002F4B7E">
        <w:t>f</w:t>
      </w:r>
      <w:r w:rsidRPr="002F4B7E">
        <w:t>ramework project is supported by the FDA Office of Training Education and Development</w:t>
      </w:r>
      <w:r w:rsidR="005D1827" w:rsidRPr="002F4B7E">
        <w:t xml:space="preserve"> (OTED)</w:t>
      </w:r>
      <w:r w:rsidRPr="002F4B7E">
        <w:t>.</w:t>
      </w:r>
      <w:r w:rsidR="005D1827" w:rsidRPr="002F4B7E">
        <w:t xml:space="preserve"> </w:t>
      </w:r>
    </w:p>
    <w:p w14:paraId="14434769" w14:textId="02669076" w:rsidR="002954AE" w:rsidRDefault="005D1827" w:rsidP="00CC0EA9">
      <w:r w:rsidRPr="002F4B7E">
        <w:t>With support from OTED, a similar framework for human and animal food regulators is under development. More than twenty online courses are now available free of charge to regulators, with many more courses currently under development.</w:t>
      </w:r>
    </w:p>
    <w:sectPr w:rsidR="002954A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ECC73" w14:textId="77777777" w:rsidR="002A7ECC" w:rsidRDefault="002A7ECC" w:rsidP="003A11E6">
      <w:pPr>
        <w:spacing w:after="0" w:line="240" w:lineRule="auto"/>
      </w:pPr>
      <w:r>
        <w:separator/>
      </w:r>
    </w:p>
  </w:endnote>
  <w:endnote w:type="continuationSeparator" w:id="0">
    <w:p w14:paraId="1A7824A5" w14:textId="77777777" w:rsidR="002A7ECC" w:rsidRDefault="002A7ECC" w:rsidP="003A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22E89" w14:textId="77777777" w:rsidR="002A7ECC" w:rsidRDefault="002A7ECC" w:rsidP="003A11E6">
      <w:pPr>
        <w:spacing w:after="0" w:line="240" w:lineRule="auto"/>
      </w:pPr>
      <w:r>
        <w:separator/>
      </w:r>
    </w:p>
  </w:footnote>
  <w:footnote w:type="continuationSeparator" w:id="0">
    <w:p w14:paraId="09A53951" w14:textId="77777777" w:rsidR="002A7ECC" w:rsidRDefault="002A7ECC" w:rsidP="003A11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F71D0" w14:textId="7D405734" w:rsidR="003A11E6" w:rsidRDefault="003A11E6">
    <w:pPr>
      <w:pStyle w:val="Header"/>
    </w:pPr>
    <w:r>
      <w:rPr>
        <w:noProof/>
      </w:rPr>
      <w:drawing>
        <wp:anchor distT="0" distB="0" distL="114300" distR="114300" simplePos="0" relativeHeight="251660288" behindDoc="1" locked="0" layoutInCell="1" allowOverlap="1" wp14:anchorId="2473ED92" wp14:editId="2489B30F">
          <wp:simplePos x="0" y="0"/>
          <wp:positionH relativeFrom="column">
            <wp:posOffset>1764527</wp:posOffset>
          </wp:positionH>
          <wp:positionV relativeFrom="paragraph">
            <wp:posOffset>-353392</wp:posOffset>
          </wp:positionV>
          <wp:extent cx="1380979" cy="490119"/>
          <wp:effectExtent l="0" t="0" r="0" b="5715"/>
          <wp:wrapTight wrapText="bothSides">
            <wp:wrapPolygon edited="0">
              <wp:start x="0" y="0"/>
              <wp:lineTo x="0" y="21012"/>
              <wp:lineTo x="21163" y="21012"/>
              <wp:lineTo x="211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0979" cy="490119"/>
                  </a:xfrm>
                  <a:prstGeom prst="rect">
                    <a:avLst/>
                  </a:prstGeom>
                  <a:noFill/>
                </pic:spPr>
              </pic:pic>
            </a:graphicData>
          </a:graphic>
        </wp:anchor>
      </w:drawing>
    </w:r>
    <w:r>
      <w:rPr>
        <w:noProof/>
      </w:rPr>
      <w:drawing>
        <wp:anchor distT="0" distB="0" distL="114300" distR="114300" simplePos="0" relativeHeight="251661312" behindDoc="1" locked="0" layoutInCell="1" allowOverlap="1" wp14:anchorId="7F179755" wp14:editId="002BBB96">
          <wp:simplePos x="0" y="0"/>
          <wp:positionH relativeFrom="column">
            <wp:posOffset>3466658</wp:posOffset>
          </wp:positionH>
          <wp:positionV relativeFrom="paragraph">
            <wp:posOffset>-226557</wp:posOffset>
          </wp:positionV>
          <wp:extent cx="1089965" cy="414384"/>
          <wp:effectExtent l="0" t="0" r="0" b="5080"/>
          <wp:wrapTight wrapText="bothSides">
            <wp:wrapPolygon edited="0">
              <wp:start x="0" y="0"/>
              <wp:lineTo x="0" y="20871"/>
              <wp:lineTo x="21147" y="20871"/>
              <wp:lineTo x="2114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9965" cy="414384"/>
                  </a:xfrm>
                  <a:prstGeom prst="rect">
                    <a:avLst/>
                  </a:prstGeom>
                  <a:noFill/>
                </pic:spPr>
              </pic:pic>
            </a:graphicData>
          </a:graphic>
        </wp:anchor>
      </w:drawing>
    </w:r>
    <w:r>
      <w:rPr>
        <w:noProof/>
      </w:rPr>
      <w:drawing>
        <wp:anchor distT="0" distB="0" distL="114300" distR="114300" simplePos="0" relativeHeight="251662336" behindDoc="1" locked="0" layoutInCell="1" allowOverlap="1" wp14:anchorId="1A79A188" wp14:editId="5120B1BA">
          <wp:simplePos x="0" y="0"/>
          <wp:positionH relativeFrom="column">
            <wp:posOffset>5000791</wp:posOffset>
          </wp:positionH>
          <wp:positionV relativeFrom="paragraph">
            <wp:posOffset>-147541</wp:posOffset>
          </wp:positionV>
          <wp:extent cx="1344253" cy="255423"/>
          <wp:effectExtent l="0" t="0" r="8890" b="0"/>
          <wp:wrapTight wrapText="bothSides">
            <wp:wrapPolygon edited="0">
              <wp:start x="0" y="0"/>
              <wp:lineTo x="0" y="19343"/>
              <wp:lineTo x="4287" y="19343"/>
              <wp:lineTo x="21437" y="19343"/>
              <wp:lineTo x="21437" y="0"/>
              <wp:lineTo x="428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44253" cy="255423"/>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27B32007" wp14:editId="20748ABF">
          <wp:simplePos x="0" y="0"/>
          <wp:positionH relativeFrom="column">
            <wp:posOffset>484505</wp:posOffset>
          </wp:positionH>
          <wp:positionV relativeFrom="paragraph">
            <wp:posOffset>-457366</wp:posOffset>
          </wp:positionV>
          <wp:extent cx="795211" cy="658368"/>
          <wp:effectExtent l="0" t="0" r="5080" b="8890"/>
          <wp:wrapTight wrapText="bothSides">
            <wp:wrapPolygon edited="0">
              <wp:start x="7764" y="0"/>
              <wp:lineTo x="2588" y="3753"/>
              <wp:lineTo x="0" y="13761"/>
              <wp:lineTo x="1035" y="16263"/>
              <wp:lineTo x="9316" y="21266"/>
              <wp:lineTo x="15010" y="21266"/>
              <wp:lineTo x="16562" y="20015"/>
              <wp:lineTo x="21220" y="13761"/>
              <wp:lineTo x="21220" y="4378"/>
              <wp:lineTo x="15527" y="0"/>
              <wp:lineTo x="776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95211" cy="658368"/>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6DD21831" wp14:editId="0F0F9689">
          <wp:simplePos x="0" y="0"/>
          <wp:positionH relativeFrom="column">
            <wp:posOffset>-612250</wp:posOffset>
          </wp:positionH>
          <wp:positionV relativeFrom="paragraph">
            <wp:posOffset>-330145</wp:posOffset>
          </wp:positionV>
          <wp:extent cx="817050" cy="482803"/>
          <wp:effectExtent l="0" t="0" r="2540" b="0"/>
          <wp:wrapTight wrapText="bothSides">
            <wp:wrapPolygon edited="0">
              <wp:start x="1512" y="0"/>
              <wp:lineTo x="0" y="3411"/>
              <wp:lineTo x="0" y="9379"/>
              <wp:lineTo x="7054" y="13642"/>
              <wp:lineTo x="0" y="16200"/>
              <wp:lineTo x="0" y="20463"/>
              <wp:lineTo x="21163" y="20463"/>
              <wp:lineTo x="21163" y="16200"/>
              <wp:lineTo x="12093" y="13642"/>
              <wp:lineTo x="13605" y="9379"/>
              <wp:lineTo x="11589" y="5116"/>
              <wp:lineTo x="5543" y="0"/>
              <wp:lineTo x="151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7050" cy="482803"/>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36D3E"/>
    <w:multiLevelType w:val="hybridMultilevel"/>
    <w:tmpl w:val="679E7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6C"/>
    <w:rsid w:val="002954AE"/>
    <w:rsid w:val="00295CE2"/>
    <w:rsid w:val="002A7ECC"/>
    <w:rsid w:val="002B7C43"/>
    <w:rsid w:val="002F4B7E"/>
    <w:rsid w:val="00304A4F"/>
    <w:rsid w:val="003A11E6"/>
    <w:rsid w:val="00446F6C"/>
    <w:rsid w:val="004859B5"/>
    <w:rsid w:val="005D1827"/>
    <w:rsid w:val="00A62775"/>
    <w:rsid w:val="00BA7900"/>
    <w:rsid w:val="00CC0EA9"/>
    <w:rsid w:val="00D76B32"/>
    <w:rsid w:val="00DF7C58"/>
    <w:rsid w:val="00E717EB"/>
    <w:rsid w:val="00F92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90C3"/>
  <w15:chartTrackingRefBased/>
  <w15:docId w15:val="{C58B8A60-AD57-49DA-809D-98CFB28F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7EB"/>
    <w:pPr>
      <w:ind w:left="720"/>
      <w:contextualSpacing/>
    </w:pPr>
  </w:style>
  <w:style w:type="paragraph" w:styleId="Header">
    <w:name w:val="header"/>
    <w:basedOn w:val="Normal"/>
    <w:link w:val="HeaderChar"/>
    <w:uiPriority w:val="99"/>
    <w:unhideWhenUsed/>
    <w:rsid w:val="003A1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1E6"/>
  </w:style>
  <w:style w:type="paragraph" w:styleId="Footer">
    <w:name w:val="footer"/>
    <w:basedOn w:val="Normal"/>
    <w:link w:val="FooterChar"/>
    <w:uiPriority w:val="99"/>
    <w:unhideWhenUsed/>
    <w:rsid w:val="003A1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57330FA-DBCC-4527-8DC1-2C0B40477C6A}"/>
</file>

<file path=customXml/itemProps2.xml><?xml version="1.0" encoding="utf-8"?>
<ds:datastoreItem xmlns:ds="http://schemas.openxmlformats.org/officeDocument/2006/customXml" ds:itemID="{4332EE9B-8F6A-48CC-941D-E615A3018430}"/>
</file>

<file path=customXml/itemProps3.xml><?xml version="1.0" encoding="utf-8"?>
<ds:datastoreItem xmlns:ds="http://schemas.openxmlformats.org/officeDocument/2006/customXml" ds:itemID="{6032B71A-3305-43F5-876A-9DCF9B07DB92}"/>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Weiss (IFPTI)</dc:creator>
  <cp:keywords/>
  <dc:description/>
  <cp:lastModifiedBy>Randolph, Robyn | APHL</cp:lastModifiedBy>
  <cp:revision>2</cp:revision>
  <dcterms:created xsi:type="dcterms:W3CDTF">2019-01-16T20:18:00Z</dcterms:created>
  <dcterms:modified xsi:type="dcterms:W3CDTF">2019-01-16T20:18:00Z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ies>
</file>